
<file path=[Content_Types].xml><?xml version="1.0" encoding="utf-8"?>
<Types xmlns="http://schemas.openxmlformats.org/package/2006/content-types">
  <Override PartName="/word/footnotes.xml" ContentType="application/vnd.openxmlformats-officedocument.wordprocessingml.footnotes+xml"/>
  <Override PartName="/word/theme/themeOverride1.xml" ContentType="application/vnd.openxmlformats-officedocument.themeOverrid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74" w:type="dxa"/>
        <w:tblInd w:w="675" w:type="dxa"/>
        <w:tblCellMar>
          <w:left w:w="10" w:type="dxa"/>
          <w:right w:w="10" w:type="dxa"/>
        </w:tblCellMar>
        <w:tblLook w:val="04A0"/>
      </w:tblPr>
      <w:tblGrid>
        <w:gridCol w:w="2963"/>
        <w:gridCol w:w="14"/>
        <w:gridCol w:w="6389"/>
        <w:gridCol w:w="308"/>
      </w:tblGrid>
      <w:tr w:rsidR="0004750B" w:rsidRPr="00361E2B" w:rsidTr="002345AE">
        <w:trPr>
          <w:trHeight w:val="711"/>
        </w:trPr>
        <w:tc>
          <w:tcPr>
            <w:tcW w:w="2977" w:type="dxa"/>
            <w:gridSpan w:val="2"/>
            <w:shd w:val="clear" w:color="000000" w:fill="FFFFFF"/>
            <w:tcMar>
              <w:left w:w="108" w:type="dxa"/>
              <w:right w:w="108" w:type="dxa"/>
            </w:tcMar>
          </w:tcPr>
          <w:p w:rsidR="0004750B" w:rsidRPr="00361E2B" w:rsidRDefault="0004750B" w:rsidP="00C01212">
            <w:pPr>
              <w:spacing w:after="0" w:line="264" w:lineRule="auto"/>
              <w:ind w:left="-250" w:firstLine="250"/>
              <w:jc w:val="center"/>
              <w:rPr>
                <w:rFonts w:ascii="Times New Roman" w:eastAsia="Cambria" w:hAnsi="Times New Roman"/>
                <w:b/>
                <w:color w:val="215868"/>
                <w:sz w:val="26"/>
                <w:szCs w:val="26"/>
              </w:rPr>
            </w:pPr>
            <w:r w:rsidRPr="00361E2B">
              <w:rPr>
                <w:rFonts w:ascii="Times New Roman" w:eastAsia="Cambria" w:hAnsi="Times New Roman"/>
                <w:b/>
                <w:color w:val="215868"/>
                <w:sz w:val="26"/>
                <w:szCs w:val="26"/>
              </w:rPr>
              <w:t>CÔNG TY CỔ PHẦN</w:t>
            </w:r>
          </w:p>
          <w:p w:rsidR="0004750B" w:rsidRPr="00361E2B" w:rsidRDefault="0004750B" w:rsidP="00C01212">
            <w:pPr>
              <w:spacing w:after="0" w:line="264" w:lineRule="auto"/>
              <w:ind w:left="-250" w:firstLine="250"/>
              <w:jc w:val="center"/>
              <w:rPr>
                <w:rFonts w:ascii="Times New Roman" w:hAnsi="Times New Roman"/>
                <w:color w:val="215868"/>
                <w:sz w:val="26"/>
                <w:szCs w:val="26"/>
              </w:rPr>
            </w:pPr>
            <w:r w:rsidRPr="00361E2B">
              <w:rPr>
                <w:rFonts w:ascii="Times New Roman" w:eastAsia="Cambria" w:hAnsi="Times New Roman"/>
                <w:b/>
                <w:color w:val="215868"/>
                <w:sz w:val="26"/>
                <w:szCs w:val="26"/>
                <w:u w:val="single"/>
              </w:rPr>
              <w:t>TẬP ĐOÀN TIẾN BỘ</w:t>
            </w:r>
          </w:p>
        </w:tc>
        <w:tc>
          <w:tcPr>
            <w:tcW w:w="6697" w:type="dxa"/>
            <w:gridSpan w:val="2"/>
            <w:shd w:val="clear" w:color="000000" w:fill="FFFFFF"/>
            <w:tcMar>
              <w:left w:w="108" w:type="dxa"/>
              <w:right w:w="108" w:type="dxa"/>
            </w:tcMar>
          </w:tcPr>
          <w:p w:rsidR="0004750B" w:rsidRPr="00361E2B" w:rsidRDefault="0004750B" w:rsidP="00C01212">
            <w:pPr>
              <w:tabs>
                <w:tab w:val="left" w:pos="1530"/>
              </w:tabs>
              <w:spacing w:after="0" w:line="240" w:lineRule="auto"/>
              <w:jc w:val="center"/>
              <w:rPr>
                <w:rFonts w:ascii="Times New Roman" w:eastAsia="Cambria" w:hAnsi="Times New Roman"/>
                <w:b/>
                <w:color w:val="215868"/>
                <w:sz w:val="26"/>
                <w:szCs w:val="26"/>
              </w:rPr>
            </w:pPr>
            <w:r w:rsidRPr="00361E2B">
              <w:rPr>
                <w:rFonts w:ascii="Times New Roman" w:eastAsia="Cambria" w:hAnsi="Times New Roman"/>
                <w:b/>
                <w:color w:val="215868"/>
                <w:sz w:val="26"/>
                <w:szCs w:val="26"/>
              </w:rPr>
              <w:t>CỘNG HÒA XÃ HỘI CHỦ NGHĨA VIỆT NAM</w:t>
            </w:r>
          </w:p>
          <w:p w:rsidR="0004750B" w:rsidRPr="00361E2B" w:rsidRDefault="0004750B" w:rsidP="00C01212">
            <w:pPr>
              <w:spacing w:after="0" w:line="240" w:lineRule="auto"/>
              <w:jc w:val="center"/>
              <w:rPr>
                <w:rFonts w:ascii="Times New Roman" w:hAnsi="Times New Roman"/>
                <w:color w:val="215868"/>
                <w:sz w:val="26"/>
                <w:szCs w:val="26"/>
              </w:rPr>
            </w:pPr>
            <w:r w:rsidRPr="00361E2B">
              <w:rPr>
                <w:rFonts w:ascii="Times New Roman" w:eastAsia="Cambria" w:hAnsi="Times New Roman"/>
                <w:b/>
                <w:color w:val="215868"/>
                <w:sz w:val="26"/>
                <w:szCs w:val="26"/>
              </w:rPr>
              <w:t>Độc lập - Tự do - Hạnh phúc</w:t>
            </w:r>
          </w:p>
        </w:tc>
      </w:tr>
      <w:tr w:rsidR="0004750B" w:rsidRPr="00361E2B" w:rsidTr="002345AE">
        <w:trPr>
          <w:gridAfter w:val="1"/>
          <w:wAfter w:w="308" w:type="dxa"/>
          <w:trHeight w:val="294"/>
        </w:trPr>
        <w:tc>
          <w:tcPr>
            <w:tcW w:w="2963" w:type="dxa"/>
            <w:shd w:val="clear" w:color="000000" w:fill="FFFFFF"/>
            <w:tcMar>
              <w:left w:w="108" w:type="dxa"/>
              <w:right w:w="108" w:type="dxa"/>
            </w:tcMar>
          </w:tcPr>
          <w:p w:rsidR="0004750B" w:rsidRPr="00361E2B" w:rsidRDefault="0004750B" w:rsidP="00C01212">
            <w:pPr>
              <w:spacing w:after="0" w:line="240" w:lineRule="auto"/>
              <w:jc w:val="both"/>
              <w:rPr>
                <w:rFonts w:ascii="Times New Roman" w:eastAsia="Calibri" w:hAnsi="Times New Roman"/>
                <w:color w:val="215868"/>
                <w:sz w:val="26"/>
                <w:szCs w:val="26"/>
              </w:rPr>
            </w:pPr>
          </w:p>
        </w:tc>
        <w:tc>
          <w:tcPr>
            <w:tcW w:w="6403" w:type="dxa"/>
            <w:gridSpan w:val="2"/>
            <w:shd w:val="clear" w:color="000000" w:fill="FFFFFF"/>
            <w:tcMar>
              <w:left w:w="108" w:type="dxa"/>
              <w:right w:w="108" w:type="dxa"/>
            </w:tcMar>
          </w:tcPr>
          <w:p w:rsidR="0004750B" w:rsidRPr="00361E2B" w:rsidRDefault="0004750B" w:rsidP="002345AE">
            <w:pPr>
              <w:tabs>
                <w:tab w:val="left" w:pos="1530"/>
              </w:tabs>
              <w:spacing w:after="0" w:line="240" w:lineRule="auto"/>
              <w:jc w:val="center"/>
              <w:rPr>
                <w:rFonts w:ascii="Times New Roman" w:hAnsi="Times New Roman"/>
                <w:color w:val="215868"/>
                <w:sz w:val="26"/>
                <w:szCs w:val="26"/>
              </w:rPr>
            </w:pPr>
            <w:r w:rsidRPr="00361E2B">
              <w:rPr>
                <w:rFonts w:ascii="Times New Roman" w:eastAsia="Cambria" w:hAnsi="Times New Roman"/>
                <w:i/>
                <w:color w:val="215868"/>
                <w:sz w:val="26"/>
                <w:szCs w:val="26"/>
              </w:rPr>
              <w:t xml:space="preserve">Thái Nguyên, ngày  </w:t>
            </w:r>
            <w:r w:rsidR="002345AE">
              <w:rPr>
                <w:rFonts w:ascii="Times New Roman" w:eastAsia="Cambria" w:hAnsi="Times New Roman"/>
                <w:i/>
                <w:color w:val="215868"/>
                <w:sz w:val="26"/>
                <w:szCs w:val="26"/>
              </w:rPr>
              <w:t>04</w:t>
            </w:r>
            <w:r w:rsidRPr="00361E2B">
              <w:rPr>
                <w:rFonts w:ascii="Times New Roman" w:eastAsia="Cambria" w:hAnsi="Times New Roman"/>
                <w:i/>
                <w:color w:val="215868"/>
                <w:sz w:val="26"/>
                <w:szCs w:val="26"/>
              </w:rPr>
              <w:t xml:space="preserve"> tháng </w:t>
            </w:r>
            <w:r w:rsidR="002345AE">
              <w:rPr>
                <w:rFonts w:ascii="Times New Roman" w:eastAsia="Cambria" w:hAnsi="Times New Roman"/>
                <w:i/>
                <w:color w:val="215868"/>
                <w:sz w:val="26"/>
                <w:szCs w:val="26"/>
              </w:rPr>
              <w:t>03</w:t>
            </w:r>
            <w:r w:rsidRPr="00361E2B">
              <w:rPr>
                <w:rFonts w:ascii="Times New Roman" w:eastAsia="Cambria" w:hAnsi="Times New Roman"/>
                <w:i/>
                <w:color w:val="215868"/>
                <w:sz w:val="26"/>
                <w:szCs w:val="26"/>
              </w:rPr>
              <w:t xml:space="preserve"> năm 2016</w:t>
            </w:r>
          </w:p>
        </w:tc>
      </w:tr>
    </w:tbl>
    <w:p w:rsidR="0004750B" w:rsidRDefault="0004750B" w:rsidP="00C01212">
      <w:pPr>
        <w:jc w:val="center"/>
      </w:pPr>
    </w:p>
    <w:p w:rsidR="0004750B" w:rsidRPr="0004750B" w:rsidRDefault="0004750B" w:rsidP="00C01212">
      <w:pPr>
        <w:jc w:val="center"/>
        <w:rPr>
          <w:rFonts w:asciiTheme="majorHAnsi" w:hAnsiTheme="majorHAnsi" w:cstheme="majorHAnsi"/>
          <w:b/>
          <w:sz w:val="26"/>
          <w:szCs w:val="26"/>
        </w:rPr>
      </w:pPr>
      <w:r w:rsidRPr="0004750B">
        <w:rPr>
          <w:rFonts w:asciiTheme="majorHAnsi" w:hAnsiTheme="majorHAnsi" w:cstheme="majorHAnsi"/>
          <w:b/>
          <w:sz w:val="26"/>
          <w:szCs w:val="26"/>
        </w:rPr>
        <w:t>BÁO CÁO TÌNH HÌNH TÀI CHÍNH NĂM 2015</w:t>
      </w:r>
    </w:p>
    <w:p w:rsidR="0004750B" w:rsidRPr="0004750B" w:rsidRDefault="0004750B" w:rsidP="00C01212">
      <w:pPr>
        <w:jc w:val="center"/>
        <w:rPr>
          <w:rFonts w:asciiTheme="majorHAnsi" w:hAnsiTheme="majorHAnsi" w:cstheme="majorHAnsi"/>
          <w:b/>
          <w:sz w:val="26"/>
          <w:szCs w:val="26"/>
        </w:rPr>
      </w:pPr>
      <w:r w:rsidRPr="0004750B">
        <w:rPr>
          <w:rFonts w:asciiTheme="majorHAnsi" w:hAnsiTheme="majorHAnsi" w:cstheme="majorHAnsi"/>
          <w:b/>
          <w:sz w:val="26"/>
          <w:szCs w:val="26"/>
        </w:rPr>
        <w:t>CÔNG TY CỔ PHẦN TẬP ĐOÀN TIẾN BỘ</w:t>
      </w:r>
    </w:p>
    <w:p w:rsidR="0004750B" w:rsidRPr="0004750B" w:rsidRDefault="0004750B" w:rsidP="00C01212">
      <w:pPr>
        <w:jc w:val="center"/>
        <w:rPr>
          <w:rFonts w:asciiTheme="majorHAnsi" w:hAnsiTheme="majorHAnsi" w:cstheme="majorHAnsi"/>
          <w:i/>
          <w:sz w:val="26"/>
          <w:szCs w:val="26"/>
        </w:rPr>
      </w:pPr>
      <w:r w:rsidRPr="0004750B">
        <w:rPr>
          <w:rFonts w:asciiTheme="majorHAnsi" w:hAnsiTheme="majorHAnsi" w:cstheme="majorHAnsi"/>
          <w:i/>
          <w:sz w:val="26"/>
          <w:szCs w:val="26"/>
        </w:rPr>
        <w:t>(Đính kèm Báo cáo số 02/2016/BC-BGĐ của Ban giám đốc)</w:t>
      </w:r>
    </w:p>
    <w:p w:rsidR="00D3742B" w:rsidRPr="004A72C8" w:rsidRDefault="0004750B" w:rsidP="00C01212">
      <w:pPr>
        <w:jc w:val="both"/>
        <w:rPr>
          <w:rFonts w:asciiTheme="majorHAnsi" w:hAnsiTheme="majorHAnsi" w:cstheme="majorHAnsi"/>
          <w:b/>
          <w:sz w:val="24"/>
          <w:szCs w:val="24"/>
        </w:rPr>
      </w:pPr>
      <w:r w:rsidRPr="004A72C8">
        <w:rPr>
          <w:rFonts w:asciiTheme="majorHAnsi" w:hAnsiTheme="majorHAnsi" w:cstheme="majorHAnsi"/>
          <w:b/>
          <w:sz w:val="24"/>
          <w:szCs w:val="24"/>
        </w:rPr>
        <w:t>Kính gửi: ĐẠI HỘI ĐỒNG CỔ ĐÔNG CÔNG TY CỔ PHẦN TẬP ĐOÀN TIẾN BỘ</w:t>
      </w:r>
    </w:p>
    <w:p w:rsidR="0004750B" w:rsidRDefault="0004750B" w:rsidP="00C01212">
      <w:pPr>
        <w:ind w:firstLine="426"/>
        <w:jc w:val="both"/>
        <w:rPr>
          <w:rFonts w:asciiTheme="majorHAnsi" w:hAnsiTheme="majorHAnsi" w:cstheme="majorHAnsi"/>
          <w:sz w:val="26"/>
          <w:szCs w:val="26"/>
        </w:rPr>
      </w:pPr>
      <w:r w:rsidRPr="0004750B">
        <w:rPr>
          <w:rFonts w:asciiTheme="majorHAnsi" w:hAnsiTheme="majorHAnsi" w:cstheme="majorHAnsi"/>
          <w:sz w:val="26"/>
          <w:szCs w:val="26"/>
        </w:rPr>
        <w:t>Năm 201</w:t>
      </w:r>
      <w:r w:rsidR="004A72C8">
        <w:rPr>
          <w:rFonts w:asciiTheme="majorHAnsi" w:hAnsiTheme="majorHAnsi" w:cstheme="majorHAnsi"/>
          <w:sz w:val="26"/>
          <w:szCs w:val="26"/>
        </w:rPr>
        <w:t>5</w:t>
      </w:r>
      <w:r w:rsidRPr="0004750B">
        <w:rPr>
          <w:rFonts w:asciiTheme="majorHAnsi" w:hAnsiTheme="majorHAnsi" w:cstheme="majorHAnsi"/>
          <w:sz w:val="26"/>
          <w:szCs w:val="26"/>
        </w:rPr>
        <w:t xml:space="preserve">, mặc dù gặp nhiều khó khăn khách quan do </w:t>
      </w:r>
      <w:r w:rsidR="004A72C8">
        <w:rPr>
          <w:rFonts w:asciiTheme="majorHAnsi" w:hAnsiTheme="majorHAnsi" w:cstheme="majorHAnsi"/>
          <w:sz w:val="26"/>
          <w:szCs w:val="26"/>
        </w:rPr>
        <w:t>tình hình kinh té toàn cầu nhiều sự bất ổn</w:t>
      </w:r>
      <w:r w:rsidRPr="0004750B">
        <w:rPr>
          <w:rFonts w:asciiTheme="majorHAnsi" w:hAnsiTheme="majorHAnsi" w:cstheme="majorHAnsi"/>
          <w:sz w:val="26"/>
          <w:szCs w:val="26"/>
        </w:rPr>
        <w:t xml:space="preserve"> song </w:t>
      </w:r>
      <w:r w:rsidR="004A72C8">
        <w:rPr>
          <w:rFonts w:asciiTheme="majorHAnsi" w:hAnsiTheme="majorHAnsi" w:cstheme="majorHAnsi"/>
          <w:sz w:val="26"/>
          <w:szCs w:val="26"/>
        </w:rPr>
        <w:t>Công ty Cổ phần Tập đoàn Tiến Bộ</w:t>
      </w:r>
      <w:r w:rsidRPr="0004750B">
        <w:rPr>
          <w:rFonts w:asciiTheme="majorHAnsi" w:hAnsiTheme="majorHAnsi" w:cstheme="majorHAnsi"/>
          <w:sz w:val="26"/>
          <w:szCs w:val="26"/>
        </w:rPr>
        <w:t xml:space="preserve"> (“</w:t>
      </w:r>
      <w:r w:rsidR="004A72C8">
        <w:rPr>
          <w:rFonts w:asciiTheme="majorHAnsi" w:hAnsiTheme="majorHAnsi" w:cstheme="majorHAnsi"/>
          <w:sz w:val="26"/>
          <w:szCs w:val="26"/>
        </w:rPr>
        <w:t xml:space="preserve">TTB”) </w:t>
      </w:r>
      <w:r w:rsidRPr="0004750B">
        <w:rPr>
          <w:rFonts w:asciiTheme="majorHAnsi" w:hAnsiTheme="majorHAnsi" w:cstheme="majorHAnsi"/>
          <w:sz w:val="26"/>
          <w:szCs w:val="26"/>
        </w:rPr>
        <w:t>vẫn có một năm hoạt động được đánh giá là thành công với các chỉ t</w:t>
      </w:r>
      <w:r w:rsidR="004A72C8">
        <w:rPr>
          <w:rFonts w:asciiTheme="majorHAnsi" w:hAnsiTheme="majorHAnsi" w:cstheme="majorHAnsi"/>
          <w:sz w:val="26"/>
          <w:szCs w:val="26"/>
        </w:rPr>
        <w:t xml:space="preserve">iêu tài chính rất khả quan theo </w:t>
      </w:r>
      <w:r w:rsidRPr="0004750B">
        <w:rPr>
          <w:rFonts w:asciiTheme="majorHAnsi" w:hAnsiTheme="majorHAnsi" w:cstheme="majorHAnsi"/>
          <w:sz w:val="26"/>
          <w:szCs w:val="26"/>
        </w:rPr>
        <w:t>báo cáo tài chính và kết quả kinh doanh tại thời điểm 31/12/201</w:t>
      </w:r>
      <w:r w:rsidR="004A72C8">
        <w:rPr>
          <w:rFonts w:asciiTheme="majorHAnsi" w:hAnsiTheme="majorHAnsi" w:cstheme="majorHAnsi"/>
          <w:sz w:val="26"/>
          <w:szCs w:val="26"/>
        </w:rPr>
        <w:t>5</w:t>
      </w:r>
      <w:r w:rsidRPr="0004750B">
        <w:rPr>
          <w:rFonts w:asciiTheme="majorHAnsi" w:hAnsiTheme="majorHAnsi" w:cstheme="majorHAnsi"/>
          <w:sz w:val="26"/>
          <w:szCs w:val="26"/>
        </w:rPr>
        <w:t>, cụ thể như sau:</w:t>
      </w:r>
    </w:p>
    <w:p w:rsidR="0004750B" w:rsidRPr="00C01212" w:rsidRDefault="0004750B" w:rsidP="00345F18">
      <w:pPr>
        <w:pStyle w:val="ListParagraph"/>
        <w:numPr>
          <w:ilvl w:val="0"/>
          <w:numId w:val="1"/>
        </w:numPr>
        <w:ind w:left="567" w:hanging="425"/>
        <w:jc w:val="both"/>
        <w:rPr>
          <w:rFonts w:asciiTheme="majorHAnsi" w:hAnsiTheme="majorHAnsi" w:cstheme="majorHAnsi"/>
          <w:b/>
          <w:sz w:val="26"/>
          <w:szCs w:val="26"/>
        </w:rPr>
      </w:pPr>
      <w:r w:rsidRPr="00C01212">
        <w:rPr>
          <w:rFonts w:asciiTheme="majorHAnsi" w:hAnsiTheme="majorHAnsi" w:cstheme="majorHAnsi"/>
          <w:b/>
          <w:sz w:val="26"/>
          <w:szCs w:val="26"/>
        </w:rPr>
        <w:t>Tăng trưởng tài sản:</w:t>
      </w:r>
    </w:p>
    <w:p w:rsidR="0004750B" w:rsidRPr="0004750B" w:rsidRDefault="00834158" w:rsidP="008F1F89">
      <w:pPr>
        <w:ind w:left="4536"/>
        <w:jc w:val="both"/>
        <w:rPr>
          <w:rFonts w:asciiTheme="majorHAnsi" w:hAnsiTheme="majorHAnsi" w:cstheme="majorHAnsi"/>
          <w:sz w:val="26"/>
          <w:szCs w:val="26"/>
        </w:rPr>
      </w:pPr>
      <w:r>
        <w:rPr>
          <w:rFonts w:asciiTheme="majorHAnsi" w:hAnsiTheme="majorHAnsi" w:cstheme="majorHAnsi"/>
          <w:noProof/>
          <w:sz w:val="26"/>
          <w:szCs w:val="26"/>
          <w:lang w:val="vi-VN" w:eastAsia="vi-VN"/>
        </w:rPr>
        <w:drawing>
          <wp:anchor distT="0" distB="0" distL="114300" distR="114300" simplePos="0" relativeHeight="251661312" behindDoc="0" locked="0" layoutInCell="1" allowOverlap="1">
            <wp:simplePos x="0" y="0"/>
            <wp:positionH relativeFrom="margin">
              <wp:posOffset>-59055</wp:posOffset>
            </wp:positionH>
            <wp:positionV relativeFrom="margin">
              <wp:posOffset>3735070</wp:posOffset>
            </wp:positionV>
            <wp:extent cx="2632710" cy="2509520"/>
            <wp:effectExtent l="0" t="0" r="0" b="0"/>
            <wp:wrapSquare wrapText="bothSides"/>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sidR="0004750B" w:rsidRPr="0004750B">
        <w:rPr>
          <w:rFonts w:asciiTheme="majorHAnsi" w:hAnsiTheme="majorHAnsi" w:cstheme="majorHAnsi"/>
          <w:sz w:val="26"/>
          <w:szCs w:val="26"/>
        </w:rPr>
        <w:t xml:space="preserve">Tổng tài sản của </w:t>
      </w:r>
      <w:r w:rsidR="004A72C8">
        <w:rPr>
          <w:rFonts w:asciiTheme="majorHAnsi" w:hAnsiTheme="majorHAnsi" w:cstheme="majorHAnsi"/>
          <w:sz w:val="26"/>
          <w:szCs w:val="26"/>
        </w:rPr>
        <w:t>TTB</w:t>
      </w:r>
      <w:r w:rsidR="0004750B" w:rsidRPr="0004750B">
        <w:rPr>
          <w:rFonts w:asciiTheme="majorHAnsi" w:hAnsiTheme="majorHAnsi" w:cstheme="majorHAnsi"/>
          <w:sz w:val="26"/>
          <w:szCs w:val="26"/>
        </w:rPr>
        <w:t xml:space="preserve"> tăng </w:t>
      </w:r>
      <w:r w:rsidR="004A72C8">
        <w:rPr>
          <w:rFonts w:asciiTheme="majorHAnsi" w:hAnsiTheme="majorHAnsi" w:cstheme="majorHAnsi"/>
          <w:sz w:val="26"/>
          <w:szCs w:val="26"/>
        </w:rPr>
        <w:t>103,744</w:t>
      </w:r>
      <w:r w:rsidR="0004750B" w:rsidRPr="0004750B">
        <w:rPr>
          <w:rFonts w:asciiTheme="majorHAnsi" w:hAnsiTheme="majorHAnsi" w:cstheme="majorHAnsi"/>
          <w:sz w:val="26"/>
          <w:szCs w:val="26"/>
        </w:rPr>
        <w:t xml:space="preserve"> tỷ đồng</w:t>
      </w:r>
      <w:r w:rsidR="004A72C8">
        <w:rPr>
          <w:rFonts w:asciiTheme="majorHAnsi" w:hAnsiTheme="majorHAnsi" w:cstheme="majorHAnsi"/>
          <w:sz w:val="26"/>
          <w:szCs w:val="26"/>
        </w:rPr>
        <w:t xml:space="preserve"> (từ mức 135,344 tỷ năm 201</w:t>
      </w:r>
      <w:r w:rsidR="0095756B">
        <w:rPr>
          <w:rFonts w:asciiTheme="majorHAnsi" w:hAnsiTheme="majorHAnsi" w:cstheme="majorHAnsi"/>
          <w:sz w:val="26"/>
          <w:szCs w:val="26"/>
        </w:rPr>
        <w:t>4</w:t>
      </w:r>
      <w:r w:rsidR="004A72C8">
        <w:rPr>
          <w:rFonts w:asciiTheme="majorHAnsi" w:hAnsiTheme="majorHAnsi" w:cstheme="majorHAnsi"/>
          <w:sz w:val="26"/>
          <w:szCs w:val="26"/>
        </w:rPr>
        <w:t xml:space="preserve"> lên </w:t>
      </w:r>
      <w:r w:rsidR="0004750B" w:rsidRPr="0004750B">
        <w:rPr>
          <w:rFonts w:asciiTheme="majorHAnsi" w:hAnsiTheme="majorHAnsi" w:cstheme="majorHAnsi"/>
          <w:sz w:val="26"/>
          <w:szCs w:val="26"/>
        </w:rPr>
        <w:t xml:space="preserve">mức </w:t>
      </w:r>
      <w:r w:rsidR="004A72C8">
        <w:rPr>
          <w:rFonts w:asciiTheme="majorHAnsi" w:hAnsiTheme="majorHAnsi" w:cstheme="majorHAnsi"/>
          <w:sz w:val="26"/>
          <w:szCs w:val="26"/>
        </w:rPr>
        <w:t>239,088</w:t>
      </w:r>
      <w:r w:rsidR="0004750B" w:rsidRPr="0004750B">
        <w:rPr>
          <w:rFonts w:asciiTheme="majorHAnsi" w:hAnsiTheme="majorHAnsi" w:cstheme="majorHAnsi"/>
          <w:sz w:val="26"/>
          <w:szCs w:val="26"/>
        </w:rPr>
        <w:t xml:space="preserve"> tỷ năm 201</w:t>
      </w:r>
      <w:r w:rsidR="0095756B">
        <w:rPr>
          <w:rFonts w:asciiTheme="majorHAnsi" w:hAnsiTheme="majorHAnsi" w:cstheme="majorHAnsi"/>
          <w:sz w:val="26"/>
          <w:szCs w:val="26"/>
        </w:rPr>
        <w:t>5</w:t>
      </w:r>
      <w:r w:rsidR="0004750B" w:rsidRPr="0004750B">
        <w:rPr>
          <w:rFonts w:asciiTheme="majorHAnsi" w:hAnsiTheme="majorHAnsi" w:cstheme="majorHAnsi"/>
          <w:sz w:val="26"/>
          <w:szCs w:val="26"/>
        </w:rPr>
        <w:t xml:space="preserve">), tương đương tăng </w:t>
      </w:r>
      <w:r w:rsidR="004A72C8">
        <w:rPr>
          <w:rFonts w:asciiTheme="majorHAnsi" w:hAnsiTheme="majorHAnsi" w:cstheme="majorHAnsi"/>
          <w:sz w:val="26"/>
          <w:szCs w:val="26"/>
        </w:rPr>
        <w:t>76,65%</w:t>
      </w:r>
      <w:r w:rsidR="0004750B" w:rsidRPr="0004750B">
        <w:rPr>
          <w:rFonts w:asciiTheme="majorHAnsi" w:hAnsiTheme="majorHAnsi" w:cstheme="majorHAnsi"/>
          <w:sz w:val="26"/>
          <w:szCs w:val="26"/>
        </w:rPr>
        <w:t>% so với năm 201</w:t>
      </w:r>
      <w:r w:rsidR="0095756B">
        <w:rPr>
          <w:rFonts w:asciiTheme="majorHAnsi" w:hAnsiTheme="majorHAnsi" w:cstheme="majorHAnsi"/>
          <w:sz w:val="26"/>
          <w:szCs w:val="26"/>
        </w:rPr>
        <w:t>4</w:t>
      </w:r>
      <w:r w:rsidR="0004750B" w:rsidRPr="0004750B">
        <w:rPr>
          <w:rFonts w:asciiTheme="majorHAnsi" w:hAnsiTheme="majorHAnsi" w:cstheme="majorHAnsi"/>
          <w:sz w:val="26"/>
          <w:szCs w:val="26"/>
        </w:rPr>
        <w:t>.</w:t>
      </w:r>
    </w:p>
    <w:p w:rsidR="0004750B" w:rsidRPr="0004750B" w:rsidRDefault="0004750B" w:rsidP="008F1F89">
      <w:pPr>
        <w:ind w:left="4536"/>
        <w:jc w:val="both"/>
        <w:rPr>
          <w:rFonts w:asciiTheme="majorHAnsi" w:hAnsiTheme="majorHAnsi" w:cstheme="majorHAnsi"/>
          <w:sz w:val="26"/>
          <w:szCs w:val="26"/>
        </w:rPr>
      </w:pPr>
      <w:r w:rsidRPr="0004750B">
        <w:rPr>
          <w:rFonts w:asciiTheme="majorHAnsi" w:hAnsiTheme="majorHAnsi" w:cstheme="majorHAnsi"/>
          <w:sz w:val="26"/>
          <w:szCs w:val="26"/>
        </w:rPr>
        <w:t>Các tài sản có thay đổi lớn trong năm như sau:</w:t>
      </w:r>
    </w:p>
    <w:p w:rsidR="0004750B" w:rsidRPr="00C01212" w:rsidRDefault="008F1F89" w:rsidP="008F1F89">
      <w:pPr>
        <w:pStyle w:val="ListParagraph"/>
        <w:ind w:left="4536"/>
        <w:jc w:val="both"/>
        <w:rPr>
          <w:rFonts w:asciiTheme="majorHAnsi" w:hAnsiTheme="majorHAnsi" w:cstheme="majorHAnsi"/>
          <w:sz w:val="26"/>
          <w:szCs w:val="26"/>
        </w:rPr>
      </w:pPr>
      <w:r>
        <w:rPr>
          <w:rFonts w:asciiTheme="majorHAnsi" w:hAnsiTheme="majorHAnsi" w:cstheme="majorHAnsi"/>
          <w:sz w:val="26"/>
          <w:szCs w:val="26"/>
        </w:rPr>
        <w:t xml:space="preserve">- </w:t>
      </w:r>
      <w:r w:rsidR="0095756B" w:rsidRPr="00C01212">
        <w:rPr>
          <w:rFonts w:asciiTheme="majorHAnsi" w:hAnsiTheme="majorHAnsi" w:cstheme="majorHAnsi"/>
          <w:sz w:val="26"/>
          <w:szCs w:val="26"/>
        </w:rPr>
        <w:t>Tại ngày 31/12/2015 khoản mục tiền gửi ngân hàng ghi nhận hơn 41  tỷ đồng tiền góp vốn mua cổ phần của Công ty trong đợt phát hành 7 triệu cổ phiếu tăng vốn điều lệ lên 143,5 tỷ đồng của Công ty trên tài khoản phong tỏa nộp tiền mua cổ phiếu chưa ghi nhận thành vốn cổ phần.</w:t>
      </w:r>
    </w:p>
    <w:p w:rsidR="00A65290" w:rsidRDefault="008F1F89" w:rsidP="00EC1A0A">
      <w:pPr>
        <w:pStyle w:val="ListParagraph"/>
        <w:ind w:left="284"/>
        <w:jc w:val="both"/>
        <w:rPr>
          <w:rFonts w:asciiTheme="majorHAnsi" w:hAnsiTheme="majorHAnsi" w:cstheme="majorHAnsi"/>
          <w:sz w:val="26"/>
          <w:szCs w:val="26"/>
        </w:rPr>
      </w:pPr>
      <w:r w:rsidRPr="00EC1A0A">
        <w:rPr>
          <w:rFonts w:asciiTheme="majorHAnsi" w:hAnsiTheme="majorHAnsi" w:cstheme="majorHAnsi"/>
          <w:sz w:val="26"/>
          <w:szCs w:val="26"/>
        </w:rPr>
        <w:t xml:space="preserve">- </w:t>
      </w:r>
      <w:r w:rsidR="0095756B" w:rsidRPr="00EC1A0A">
        <w:rPr>
          <w:rFonts w:asciiTheme="majorHAnsi" w:hAnsiTheme="majorHAnsi" w:cstheme="majorHAnsi"/>
          <w:sz w:val="26"/>
          <w:szCs w:val="26"/>
        </w:rPr>
        <w:t>Hàng</w:t>
      </w:r>
      <w:r w:rsidR="0004750B" w:rsidRPr="00EC1A0A">
        <w:rPr>
          <w:rFonts w:asciiTheme="majorHAnsi" w:hAnsiTheme="majorHAnsi" w:cstheme="majorHAnsi"/>
          <w:sz w:val="26"/>
          <w:szCs w:val="26"/>
        </w:rPr>
        <w:t xml:space="preserve"> tồn kho </w:t>
      </w:r>
      <w:r w:rsidR="00AD3D4A" w:rsidRPr="00EC1A0A">
        <w:rPr>
          <w:rFonts w:asciiTheme="majorHAnsi" w:hAnsiTheme="majorHAnsi" w:cstheme="majorHAnsi"/>
          <w:sz w:val="26"/>
          <w:szCs w:val="26"/>
        </w:rPr>
        <w:t xml:space="preserve"> năm 2014 là :21,72 tỷ đồng năm 2015</w:t>
      </w:r>
      <w:r w:rsidR="0095756B" w:rsidRPr="00EC1A0A">
        <w:rPr>
          <w:rFonts w:asciiTheme="majorHAnsi" w:hAnsiTheme="majorHAnsi" w:cstheme="majorHAnsi"/>
          <w:sz w:val="26"/>
          <w:szCs w:val="26"/>
        </w:rPr>
        <w:t xml:space="preserve"> lên 65,07</w:t>
      </w:r>
      <w:r w:rsidR="00AD3D4A" w:rsidRPr="00EC1A0A">
        <w:rPr>
          <w:rFonts w:asciiTheme="majorHAnsi" w:hAnsiTheme="majorHAnsi" w:cstheme="majorHAnsi"/>
          <w:sz w:val="26"/>
          <w:szCs w:val="26"/>
        </w:rPr>
        <w:t xml:space="preserve"> tăng hơn năm trước là :42.35  tỷ đồng . nguyên nhân tăng là do sang </w:t>
      </w:r>
      <w:r w:rsidR="0095756B" w:rsidRPr="00EC1A0A">
        <w:rPr>
          <w:rFonts w:asciiTheme="majorHAnsi" w:hAnsiTheme="majorHAnsi" w:cstheme="majorHAnsi"/>
          <w:sz w:val="26"/>
          <w:szCs w:val="26"/>
        </w:rPr>
        <w:t xml:space="preserve"> năm 2015</w:t>
      </w:r>
      <w:r w:rsidR="00AD3D4A" w:rsidRPr="00EC1A0A">
        <w:rPr>
          <w:rFonts w:asciiTheme="majorHAnsi" w:hAnsiTheme="majorHAnsi" w:cstheme="majorHAnsi"/>
          <w:sz w:val="26"/>
          <w:szCs w:val="26"/>
        </w:rPr>
        <w:t xml:space="preserve"> có cả hàng tồn kho của </w:t>
      </w:r>
      <w:r w:rsidR="00A65290" w:rsidRPr="00EC1A0A">
        <w:rPr>
          <w:rFonts w:asciiTheme="majorHAnsi" w:hAnsiTheme="majorHAnsi" w:cstheme="majorHAnsi"/>
          <w:sz w:val="26"/>
          <w:szCs w:val="26"/>
        </w:rPr>
        <w:t>các căn hộ chung cư  mới hoàn thành  vào  cuối quý IV</w:t>
      </w:r>
      <w:r w:rsidR="0036086F" w:rsidRPr="00EC1A0A">
        <w:rPr>
          <w:rFonts w:asciiTheme="majorHAnsi" w:hAnsiTheme="majorHAnsi" w:cstheme="majorHAnsi"/>
          <w:sz w:val="26"/>
          <w:szCs w:val="26"/>
        </w:rPr>
        <w:t xml:space="preserve"> ( đã được khách hàng đặt cọc mua ) nhưng</w:t>
      </w:r>
      <w:r w:rsidR="002A4584" w:rsidRPr="00EC1A0A">
        <w:rPr>
          <w:rFonts w:asciiTheme="majorHAnsi" w:hAnsiTheme="majorHAnsi" w:cstheme="majorHAnsi"/>
          <w:sz w:val="26"/>
          <w:szCs w:val="26"/>
        </w:rPr>
        <w:t xml:space="preserve"> chưa đủ điều kiện</w:t>
      </w:r>
      <w:r w:rsidR="009724C1" w:rsidRPr="00EC1A0A">
        <w:rPr>
          <w:rFonts w:asciiTheme="majorHAnsi" w:hAnsiTheme="majorHAnsi" w:cstheme="majorHAnsi"/>
          <w:sz w:val="26"/>
          <w:szCs w:val="26"/>
        </w:rPr>
        <w:t xml:space="preserve"> để </w:t>
      </w:r>
      <w:r w:rsidR="002A4584" w:rsidRPr="00EC1A0A">
        <w:rPr>
          <w:rFonts w:asciiTheme="majorHAnsi" w:hAnsiTheme="majorHAnsi" w:cstheme="majorHAnsi"/>
          <w:sz w:val="26"/>
          <w:szCs w:val="26"/>
        </w:rPr>
        <w:t xml:space="preserve"> ghi nhận doanh thu </w:t>
      </w:r>
      <w:r w:rsidR="00247AF4" w:rsidRPr="00EC1A0A">
        <w:rPr>
          <w:rFonts w:asciiTheme="majorHAnsi" w:hAnsiTheme="majorHAnsi" w:cstheme="majorHAnsi"/>
          <w:sz w:val="26"/>
          <w:szCs w:val="26"/>
        </w:rPr>
        <w:t xml:space="preserve">nên </w:t>
      </w:r>
      <w:r w:rsidR="00A65290" w:rsidRPr="00EC1A0A">
        <w:rPr>
          <w:rFonts w:asciiTheme="majorHAnsi" w:hAnsiTheme="majorHAnsi" w:cstheme="majorHAnsi"/>
          <w:sz w:val="26"/>
          <w:szCs w:val="26"/>
        </w:rPr>
        <w:t xml:space="preserve"> đã làm cho tồn kho tăng so với cùng kỳ năm trước.</w:t>
      </w:r>
    </w:p>
    <w:p w:rsidR="0004750B" w:rsidRDefault="008F1F89" w:rsidP="00EC1A0A">
      <w:pPr>
        <w:pStyle w:val="ListParagraph"/>
        <w:ind w:left="284"/>
        <w:jc w:val="both"/>
        <w:rPr>
          <w:rFonts w:asciiTheme="majorHAnsi" w:hAnsiTheme="majorHAnsi" w:cstheme="majorHAnsi"/>
          <w:sz w:val="26"/>
          <w:szCs w:val="26"/>
        </w:rPr>
      </w:pPr>
      <w:r>
        <w:rPr>
          <w:rFonts w:asciiTheme="majorHAnsi" w:hAnsiTheme="majorHAnsi" w:cstheme="majorHAnsi"/>
          <w:sz w:val="26"/>
          <w:szCs w:val="26"/>
        </w:rPr>
        <w:t xml:space="preserve">- </w:t>
      </w:r>
      <w:r w:rsidR="0004750B" w:rsidRPr="00C01212">
        <w:rPr>
          <w:rFonts w:asciiTheme="majorHAnsi" w:hAnsiTheme="majorHAnsi" w:cstheme="majorHAnsi"/>
          <w:sz w:val="26"/>
          <w:szCs w:val="26"/>
        </w:rPr>
        <w:t xml:space="preserve">Tăng tài sản </w:t>
      </w:r>
      <w:r w:rsidR="006B6F1B" w:rsidRPr="00C01212">
        <w:rPr>
          <w:rFonts w:asciiTheme="majorHAnsi" w:hAnsiTheme="majorHAnsi" w:cstheme="majorHAnsi"/>
          <w:sz w:val="26"/>
          <w:szCs w:val="26"/>
        </w:rPr>
        <w:t xml:space="preserve">dài hạn </w:t>
      </w:r>
      <w:r w:rsidR="0004750B" w:rsidRPr="00C01212">
        <w:rPr>
          <w:rFonts w:asciiTheme="majorHAnsi" w:hAnsiTheme="majorHAnsi" w:cstheme="majorHAnsi"/>
          <w:sz w:val="26"/>
          <w:szCs w:val="26"/>
        </w:rPr>
        <w:t xml:space="preserve">từ việc </w:t>
      </w:r>
      <w:r w:rsidR="006B6F1B" w:rsidRPr="00C01212">
        <w:rPr>
          <w:rFonts w:asciiTheme="majorHAnsi" w:hAnsiTheme="majorHAnsi" w:cstheme="majorHAnsi"/>
          <w:sz w:val="26"/>
          <w:szCs w:val="26"/>
        </w:rPr>
        <w:t xml:space="preserve">gia tăng giá trị xây dựng cơ bản của nhà máy cầu </w:t>
      </w:r>
      <w:r w:rsidR="00C01212">
        <w:rPr>
          <w:rFonts w:asciiTheme="majorHAnsi" w:hAnsiTheme="majorHAnsi" w:cstheme="majorHAnsi"/>
          <w:sz w:val="26"/>
          <w:szCs w:val="26"/>
        </w:rPr>
        <w:t>lô</w:t>
      </w:r>
      <w:r w:rsidR="006B6F1B" w:rsidRPr="00C01212">
        <w:rPr>
          <w:rFonts w:asciiTheme="majorHAnsi" w:hAnsiTheme="majorHAnsi" w:cstheme="majorHAnsi"/>
          <w:sz w:val="26"/>
          <w:szCs w:val="26"/>
        </w:rPr>
        <w:t>ng.</w:t>
      </w:r>
    </w:p>
    <w:p w:rsidR="008F1F89" w:rsidRDefault="008F1F89" w:rsidP="008F1F89">
      <w:pPr>
        <w:pStyle w:val="ListParagraph"/>
        <w:ind w:left="4536"/>
        <w:jc w:val="both"/>
        <w:rPr>
          <w:rFonts w:asciiTheme="majorHAnsi" w:hAnsiTheme="majorHAnsi" w:cstheme="majorHAnsi"/>
          <w:sz w:val="26"/>
          <w:szCs w:val="26"/>
        </w:rPr>
      </w:pPr>
    </w:p>
    <w:p w:rsidR="00EC1A0A" w:rsidRPr="00C01212" w:rsidRDefault="00EC1A0A" w:rsidP="008F1F89">
      <w:pPr>
        <w:pStyle w:val="ListParagraph"/>
        <w:ind w:left="4536"/>
        <w:jc w:val="both"/>
        <w:rPr>
          <w:rFonts w:asciiTheme="majorHAnsi" w:hAnsiTheme="majorHAnsi" w:cstheme="majorHAnsi"/>
          <w:sz w:val="26"/>
          <w:szCs w:val="26"/>
        </w:rPr>
      </w:pPr>
    </w:p>
    <w:p w:rsidR="0004750B" w:rsidRPr="00C01212" w:rsidRDefault="0004750B" w:rsidP="00345F18">
      <w:pPr>
        <w:pStyle w:val="ListParagraph"/>
        <w:numPr>
          <w:ilvl w:val="0"/>
          <w:numId w:val="1"/>
        </w:numPr>
        <w:ind w:left="567" w:hanging="425"/>
        <w:jc w:val="both"/>
        <w:rPr>
          <w:rFonts w:asciiTheme="majorHAnsi" w:hAnsiTheme="majorHAnsi" w:cstheme="majorHAnsi"/>
          <w:b/>
          <w:sz w:val="26"/>
          <w:szCs w:val="26"/>
        </w:rPr>
      </w:pPr>
      <w:r w:rsidRPr="00C01212">
        <w:rPr>
          <w:rFonts w:asciiTheme="majorHAnsi" w:hAnsiTheme="majorHAnsi" w:cstheme="majorHAnsi"/>
          <w:b/>
          <w:sz w:val="26"/>
          <w:szCs w:val="26"/>
        </w:rPr>
        <w:t>Nguồn vốn và vay nợ:</w:t>
      </w:r>
    </w:p>
    <w:p w:rsidR="00C01212" w:rsidRPr="00C01212" w:rsidRDefault="00C01212" w:rsidP="00C01212">
      <w:pPr>
        <w:pStyle w:val="ListParagraph"/>
        <w:numPr>
          <w:ilvl w:val="0"/>
          <w:numId w:val="3"/>
        </w:numPr>
        <w:jc w:val="both"/>
        <w:rPr>
          <w:rFonts w:asciiTheme="majorHAnsi" w:hAnsiTheme="majorHAnsi" w:cstheme="majorHAnsi"/>
          <w:vanish/>
          <w:sz w:val="26"/>
          <w:szCs w:val="26"/>
        </w:rPr>
      </w:pPr>
    </w:p>
    <w:p w:rsidR="00C01212" w:rsidRPr="00C01212" w:rsidRDefault="00C01212" w:rsidP="00C01212">
      <w:pPr>
        <w:pStyle w:val="ListParagraph"/>
        <w:numPr>
          <w:ilvl w:val="0"/>
          <w:numId w:val="3"/>
        </w:numPr>
        <w:jc w:val="both"/>
        <w:rPr>
          <w:rFonts w:asciiTheme="majorHAnsi" w:hAnsiTheme="majorHAnsi" w:cstheme="majorHAnsi"/>
          <w:vanish/>
          <w:sz w:val="26"/>
          <w:szCs w:val="26"/>
        </w:rPr>
      </w:pPr>
    </w:p>
    <w:p w:rsidR="0004750B" w:rsidRDefault="0004750B" w:rsidP="00C01212">
      <w:pPr>
        <w:pStyle w:val="ListParagraph"/>
        <w:numPr>
          <w:ilvl w:val="1"/>
          <w:numId w:val="3"/>
        </w:numPr>
        <w:jc w:val="both"/>
        <w:rPr>
          <w:rFonts w:asciiTheme="majorHAnsi" w:hAnsiTheme="majorHAnsi" w:cstheme="majorHAnsi"/>
          <w:b/>
          <w:sz w:val="26"/>
          <w:szCs w:val="26"/>
        </w:rPr>
      </w:pPr>
      <w:r w:rsidRPr="00C01212">
        <w:rPr>
          <w:rFonts w:asciiTheme="majorHAnsi" w:hAnsiTheme="majorHAnsi" w:cstheme="majorHAnsi"/>
          <w:b/>
          <w:sz w:val="26"/>
          <w:szCs w:val="26"/>
        </w:rPr>
        <w:t>Các nguồn vốn vay trong năm 201</w:t>
      </w:r>
      <w:r w:rsidR="006B6F1B" w:rsidRPr="00C01212">
        <w:rPr>
          <w:rFonts w:asciiTheme="majorHAnsi" w:hAnsiTheme="majorHAnsi" w:cstheme="majorHAnsi"/>
          <w:b/>
          <w:sz w:val="26"/>
          <w:szCs w:val="26"/>
        </w:rPr>
        <w:t>5</w:t>
      </w:r>
      <w:r w:rsidRPr="00C01212">
        <w:rPr>
          <w:rFonts w:asciiTheme="majorHAnsi" w:hAnsiTheme="majorHAnsi" w:cstheme="majorHAnsi"/>
          <w:b/>
          <w:sz w:val="26"/>
          <w:szCs w:val="26"/>
        </w:rPr>
        <w:t>:</w:t>
      </w:r>
    </w:p>
    <w:p w:rsidR="0004750B" w:rsidRPr="00EC1A0A" w:rsidRDefault="007013DD" w:rsidP="008F1F89">
      <w:pPr>
        <w:pStyle w:val="ListParagraph"/>
        <w:ind w:left="426"/>
        <w:jc w:val="both"/>
        <w:rPr>
          <w:rFonts w:asciiTheme="majorHAnsi" w:hAnsiTheme="majorHAnsi" w:cstheme="majorHAnsi"/>
          <w:sz w:val="26"/>
          <w:szCs w:val="26"/>
        </w:rPr>
      </w:pPr>
      <w:r>
        <w:rPr>
          <w:rFonts w:asciiTheme="majorHAnsi" w:hAnsiTheme="majorHAnsi" w:cstheme="majorHAnsi"/>
          <w:noProof/>
          <w:sz w:val="26"/>
          <w:szCs w:val="26"/>
          <w:lang w:val="vi-VN" w:eastAsia="vi-VN"/>
        </w:rPr>
        <w:lastRenderedPageBreak/>
        <w:drawing>
          <wp:anchor distT="0" distB="0" distL="114300" distR="114300" simplePos="0" relativeHeight="251660288" behindDoc="0" locked="0" layoutInCell="1" allowOverlap="1">
            <wp:simplePos x="0" y="0"/>
            <wp:positionH relativeFrom="margin">
              <wp:posOffset>-58420</wp:posOffset>
            </wp:positionH>
            <wp:positionV relativeFrom="margin">
              <wp:posOffset>525145</wp:posOffset>
            </wp:positionV>
            <wp:extent cx="2392680" cy="1779905"/>
            <wp:effectExtent l="0" t="0" r="0" b="0"/>
            <wp:wrapSquare wrapText="bothSides"/>
            <wp:docPr id="5"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0004750B" w:rsidRPr="00C01212">
        <w:rPr>
          <w:rFonts w:asciiTheme="majorHAnsi" w:hAnsiTheme="majorHAnsi" w:cstheme="majorHAnsi"/>
          <w:sz w:val="26"/>
          <w:szCs w:val="26"/>
        </w:rPr>
        <w:t xml:space="preserve">Tổng vay nợ ngân hàng và các </w:t>
      </w:r>
      <w:r>
        <w:rPr>
          <w:rFonts w:asciiTheme="majorHAnsi" w:hAnsiTheme="majorHAnsi" w:cstheme="majorHAnsi"/>
          <w:sz w:val="26"/>
          <w:szCs w:val="26"/>
        </w:rPr>
        <w:t>cá</w:t>
      </w:r>
      <w:r w:rsidR="006B6F1B" w:rsidRPr="00C01212">
        <w:rPr>
          <w:rFonts w:asciiTheme="majorHAnsi" w:hAnsiTheme="majorHAnsi" w:cstheme="majorHAnsi"/>
          <w:sz w:val="26"/>
          <w:szCs w:val="26"/>
        </w:rPr>
        <w:t xml:space="preserve"> nhân, </w:t>
      </w:r>
      <w:r w:rsidR="0004750B" w:rsidRPr="00C01212">
        <w:rPr>
          <w:rFonts w:asciiTheme="majorHAnsi" w:hAnsiTheme="majorHAnsi" w:cstheme="majorHAnsi"/>
          <w:sz w:val="26"/>
          <w:szCs w:val="26"/>
        </w:rPr>
        <w:t>tổ chức tín dụng trong và ngoài nước31/12/201</w:t>
      </w:r>
      <w:r w:rsidR="006B6F1B" w:rsidRPr="00C01212">
        <w:rPr>
          <w:rFonts w:asciiTheme="majorHAnsi" w:hAnsiTheme="majorHAnsi" w:cstheme="majorHAnsi"/>
          <w:sz w:val="26"/>
          <w:szCs w:val="26"/>
        </w:rPr>
        <w:t>5</w:t>
      </w:r>
      <w:r w:rsidR="0004750B" w:rsidRPr="00C01212">
        <w:rPr>
          <w:rFonts w:asciiTheme="majorHAnsi" w:hAnsiTheme="majorHAnsi" w:cstheme="majorHAnsi"/>
          <w:sz w:val="26"/>
          <w:szCs w:val="26"/>
        </w:rPr>
        <w:t xml:space="preserve"> là </w:t>
      </w:r>
      <w:r w:rsidR="006B6F1B" w:rsidRPr="00C01212">
        <w:rPr>
          <w:rFonts w:asciiTheme="majorHAnsi" w:hAnsiTheme="majorHAnsi" w:cstheme="majorHAnsi"/>
          <w:sz w:val="26"/>
          <w:szCs w:val="26"/>
        </w:rPr>
        <w:t>145,2</w:t>
      </w:r>
      <w:r w:rsidR="0004750B" w:rsidRPr="00C01212">
        <w:rPr>
          <w:rFonts w:asciiTheme="majorHAnsi" w:hAnsiTheme="majorHAnsi" w:cstheme="majorHAnsi"/>
          <w:sz w:val="26"/>
          <w:szCs w:val="26"/>
        </w:rPr>
        <w:t xml:space="preserve"> tỷ đồng</w:t>
      </w:r>
      <w:r w:rsidR="006B6F1B" w:rsidRPr="00C01212">
        <w:rPr>
          <w:rFonts w:asciiTheme="majorHAnsi" w:hAnsiTheme="majorHAnsi" w:cstheme="majorHAnsi"/>
          <w:sz w:val="26"/>
          <w:szCs w:val="26"/>
        </w:rPr>
        <w:t xml:space="preserve"> tăng 60,37 tỷ đồng so với năm 2014</w:t>
      </w:r>
      <w:r w:rsidR="0004750B" w:rsidRPr="00C01212">
        <w:rPr>
          <w:rFonts w:asciiTheme="majorHAnsi" w:hAnsiTheme="majorHAnsi" w:cstheme="majorHAnsi"/>
          <w:sz w:val="26"/>
          <w:szCs w:val="26"/>
        </w:rPr>
        <w:t xml:space="preserve">, trong đó nợ ngắn hạn khoảng </w:t>
      </w:r>
      <w:r w:rsidR="006B6F1B" w:rsidRPr="00C01212">
        <w:rPr>
          <w:rFonts w:asciiTheme="majorHAnsi" w:hAnsiTheme="majorHAnsi" w:cstheme="majorHAnsi"/>
          <w:sz w:val="26"/>
          <w:szCs w:val="26"/>
        </w:rPr>
        <w:t>110.04</w:t>
      </w:r>
      <w:r w:rsidR="0004750B" w:rsidRPr="00C01212">
        <w:rPr>
          <w:rFonts w:asciiTheme="majorHAnsi" w:hAnsiTheme="majorHAnsi" w:cstheme="majorHAnsi"/>
          <w:sz w:val="26"/>
          <w:szCs w:val="26"/>
        </w:rPr>
        <w:t xml:space="preserve"> tỷ đồng, nợ dài hạn </w:t>
      </w:r>
      <w:r w:rsidR="006B6F1B" w:rsidRPr="00C01212">
        <w:rPr>
          <w:rFonts w:asciiTheme="majorHAnsi" w:hAnsiTheme="majorHAnsi" w:cstheme="majorHAnsi"/>
          <w:sz w:val="26"/>
          <w:szCs w:val="26"/>
        </w:rPr>
        <w:t xml:space="preserve">khoản 35,16 </w:t>
      </w:r>
      <w:r w:rsidR="0004750B" w:rsidRPr="00C01212">
        <w:rPr>
          <w:rFonts w:asciiTheme="majorHAnsi" w:hAnsiTheme="majorHAnsi" w:cstheme="majorHAnsi"/>
          <w:sz w:val="26"/>
          <w:szCs w:val="26"/>
        </w:rPr>
        <w:t xml:space="preserve"> tỷđồng.Tổng nợ vay tăng hơn so với cuối năm 201</w:t>
      </w:r>
      <w:r w:rsidR="006B6F1B" w:rsidRPr="00C01212">
        <w:rPr>
          <w:rFonts w:asciiTheme="majorHAnsi" w:hAnsiTheme="majorHAnsi" w:cstheme="majorHAnsi"/>
          <w:sz w:val="26"/>
          <w:szCs w:val="26"/>
        </w:rPr>
        <w:t>4</w:t>
      </w:r>
      <w:r w:rsidR="0004750B" w:rsidRPr="00C01212">
        <w:rPr>
          <w:rFonts w:asciiTheme="majorHAnsi" w:hAnsiTheme="majorHAnsi" w:cstheme="majorHAnsi"/>
          <w:sz w:val="26"/>
          <w:szCs w:val="26"/>
        </w:rPr>
        <w:t xml:space="preserve"> là do các biến động nguồn vốn </w:t>
      </w:r>
      <w:r w:rsidR="0004750B" w:rsidRPr="00EC1A0A">
        <w:rPr>
          <w:rFonts w:asciiTheme="majorHAnsi" w:hAnsiTheme="majorHAnsi" w:cstheme="majorHAnsi"/>
          <w:sz w:val="26"/>
          <w:szCs w:val="26"/>
        </w:rPr>
        <w:t>vaychủ yếu</w:t>
      </w:r>
      <w:r w:rsidR="00D3753E" w:rsidRPr="00EC1A0A">
        <w:rPr>
          <w:rFonts w:asciiTheme="majorHAnsi" w:hAnsiTheme="majorHAnsi" w:cstheme="majorHAnsi"/>
          <w:sz w:val="26"/>
          <w:szCs w:val="26"/>
        </w:rPr>
        <w:t xml:space="preserve"> để tiếp tục đầu tư xây dựng dự án chung cư </w:t>
      </w:r>
      <w:r w:rsidR="002A4826" w:rsidRPr="00EC1A0A">
        <w:rPr>
          <w:rFonts w:asciiTheme="majorHAnsi" w:hAnsiTheme="majorHAnsi" w:cstheme="majorHAnsi"/>
          <w:sz w:val="26"/>
          <w:szCs w:val="26"/>
        </w:rPr>
        <w:t xml:space="preserve"> trong năm , mặt khác :</w:t>
      </w:r>
    </w:p>
    <w:p w:rsidR="006B6F1B" w:rsidRPr="00EC1A0A" w:rsidRDefault="007013DD" w:rsidP="001F1059">
      <w:pPr>
        <w:pStyle w:val="ListParagraph"/>
        <w:ind w:left="426"/>
        <w:jc w:val="both"/>
        <w:rPr>
          <w:rFonts w:asciiTheme="majorHAnsi" w:hAnsiTheme="majorHAnsi" w:cstheme="majorHAnsi"/>
          <w:sz w:val="26"/>
          <w:szCs w:val="26"/>
        </w:rPr>
      </w:pPr>
      <w:r w:rsidRPr="00EC1A0A">
        <w:rPr>
          <w:rFonts w:asciiTheme="majorHAnsi" w:hAnsiTheme="majorHAnsi" w:cstheme="majorHAnsi"/>
          <w:noProof/>
          <w:sz w:val="26"/>
          <w:szCs w:val="26"/>
          <w:lang w:val="vi-VN" w:eastAsia="vi-VN"/>
        </w:rPr>
        <w:drawing>
          <wp:anchor distT="0" distB="0" distL="114300" distR="114300" simplePos="0" relativeHeight="251659264" behindDoc="0" locked="0" layoutInCell="1" allowOverlap="1">
            <wp:simplePos x="0" y="0"/>
            <wp:positionH relativeFrom="margin">
              <wp:posOffset>106680</wp:posOffset>
            </wp:positionH>
            <wp:positionV relativeFrom="margin">
              <wp:posOffset>2372995</wp:posOffset>
            </wp:positionV>
            <wp:extent cx="2227580" cy="1867535"/>
            <wp:effectExtent l="0" t="0" r="0" b="0"/>
            <wp:wrapSquare wrapText="bothSides"/>
            <wp:docPr id="3"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002A4584" w:rsidRPr="00EC1A0A">
        <w:rPr>
          <w:rFonts w:asciiTheme="majorHAnsi" w:hAnsiTheme="majorHAnsi" w:cstheme="majorHAnsi"/>
          <w:sz w:val="26"/>
          <w:szCs w:val="26"/>
        </w:rPr>
        <w:t xml:space="preserve">- </w:t>
      </w:r>
      <w:r w:rsidR="006B6F1B" w:rsidRPr="00EC1A0A">
        <w:rPr>
          <w:rFonts w:asciiTheme="majorHAnsi" w:hAnsiTheme="majorHAnsi" w:cstheme="majorHAnsi"/>
          <w:sz w:val="26"/>
          <w:szCs w:val="26"/>
        </w:rPr>
        <w:t>Tại ngày 31/12/2015 khoản mục phải trả ngắn hạn khác ghi nhận hơn 41  tỷ đồng tiền góp vốn mua cổ phần của Công ty trong đợt phát hành 7 triệu cổ phiếu tăng vốn điều lệ lên 143,5 tỷ đồng của Công ty trên tài khoản phong tỏa nộp tiền mua cổ phiếu chưa ghi nhận thành vốn cổ phần.</w:t>
      </w:r>
    </w:p>
    <w:p w:rsidR="0004750B" w:rsidRDefault="007013DD" w:rsidP="007013DD">
      <w:pPr>
        <w:pStyle w:val="ListParagraph"/>
        <w:ind w:left="426"/>
        <w:jc w:val="both"/>
        <w:rPr>
          <w:rFonts w:asciiTheme="majorHAnsi" w:hAnsiTheme="majorHAnsi" w:cstheme="majorHAnsi"/>
          <w:sz w:val="26"/>
          <w:szCs w:val="26"/>
        </w:rPr>
      </w:pPr>
      <w:r w:rsidRPr="00EC1A0A">
        <w:rPr>
          <w:rFonts w:asciiTheme="majorHAnsi" w:hAnsiTheme="majorHAnsi" w:cstheme="majorHAnsi"/>
          <w:sz w:val="26"/>
          <w:szCs w:val="26"/>
        </w:rPr>
        <w:t xml:space="preserve">- </w:t>
      </w:r>
      <w:r w:rsidR="006B6F1B" w:rsidRPr="00EC1A0A">
        <w:rPr>
          <w:rFonts w:asciiTheme="majorHAnsi" w:hAnsiTheme="majorHAnsi" w:cstheme="majorHAnsi"/>
          <w:sz w:val="26"/>
          <w:szCs w:val="26"/>
        </w:rPr>
        <w:t>Khoản mục người mua trả tiền trước ngắn hạn tăng gần 20 tỷ đồng chủ yếu từ dòng tiền khách hàng trả trước</w:t>
      </w:r>
      <w:r w:rsidR="00D3753E" w:rsidRPr="00EC1A0A">
        <w:rPr>
          <w:rFonts w:asciiTheme="majorHAnsi" w:hAnsiTheme="majorHAnsi" w:cstheme="majorHAnsi"/>
          <w:sz w:val="26"/>
          <w:szCs w:val="26"/>
        </w:rPr>
        <w:t xml:space="preserve">đặt cọc mua </w:t>
      </w:r>
      <w:r w:rsidR="006B6F1B" w:rsidRPr="00EC1A0A">
        <w:rPr>
          <w:rFonts w:asciiTheme="majorHAnsi" w:hAnsiTheme="majorHAnsi" w:cstheme="majorHAnsi"/>
          <w:sz w:val="26"/>
          <w:szCs w:val="26"/>
        </w:rPr>
        <w:t xml:space="preserve"> căn</w:t>
      </w:r>
      <w:r w:rsidR="006B6F1B" w:rsidRPr="00C01212">
        <w:rPr>
          <w:rFonts w:asciiTheme="majorHAnsi" w:hAnsiTheme="majorHAnsi" w:cstheme="majorHAnsi"/>
          <w:sz w:val="26"/>
          <w:szCs w:val="26"/>
        </w:rPr>
        <w:t xml:space="preserve"> hộ chung cư chưa ghi nhận doanh thu trong năm 2015.</w:t>
      </w:r>
    </w:p>
    <w:p w:rsidR="007013DD" w:rsidRDefault="007013DD" w:rsidP="007013DD">
      <w:pPr>
        <w:pStyle w:val="ListParagraph"/>
        <w:ind w:left="426"/>
        <w:jc w:val="both"/>
        <w:rPr>
          <w:rFonts w:asciiTheme="majorHAnsi" w:hAnsiTheme="majorHAnsi" w:cstheme="majorHAnsi"/>
          <w:sz w:val="26"/>
          <w:szCs w:val="26"/>
        </w:rPr>
      </w:pPr>
    </w:p>
    <w:p w:rsidR="0004750B" w:rsidRPr="00C01212" w:rsidRDefault="00C01212" w:rsidP="00C01212">
      <w:pPr>
        <w:pStyle w:val="ListParagraph"/>
        <w:numPr>
          <w:ilvl w:val="1"/>
          <w:numId w:val="3"/>
        </w:numPr>
        <w:jc w:val="both"/>
        <w:rPr>
          <w:rFonts w:asciiTheme="majorHAnsi" w:hAnsiTheme="majorHAnsi" w:cstheme="majorHAnsi"/>
          <w:b/>
          <w:sz w:val="26"/>
          <w:szCs w:val="26"/>
        </w:rPr>
      </w:pPr>
      <w:r w:rsidRPr="00C01212">
        <w:rPr>
          <w:rFonts w:asciiTheme="majorHAnsi" w:hAnsiTheme="majorHAnsi" w:cstheme="majorHAnsi"/>
          <w:b/>
          <w:sz w:val="26"/>
          <w:szCs w:val="26"/>
        </w:rPr>
        <w:t>T</w:t>
      </w:r>
      <w:r w:rsidR="0004750B" w:rsidRPr="00C01212">
        <w:rPr>
          <w:rFonts w:asciiTheme="majorHAnsi" w:hAnsiTheme="majorHAnsi" w:cstheme="majorHAnsi"/>
          <w:b/>
          <w:sz w:val="26"/>
          <w:szCs w:val="26"/>
        </w:rPr>
        <w:t>ăng nguồn vốn chủ sở hữu</w:t>
      </w:r>
    </w:p>
    <w:p w:rsidR="0004750B" w:rsidRDefault="0004750B" w:rsidP="00C01212">
      <w:pPr>
        <w:pStyle w:val="ListParagraph"/>
        <w:numPr>
          <w:ilvl w:val="0"/>
          <w:numId w:val="5"/>
        </w:numPr>
        <w:ind w:left="426" w:hanging="426"/>
        <w:jc w:val="both"/>
        <w:rPr>
          <w:rFonts w:asciiTheme="majorHAnsi" w:hAnsiTheme="majorHAnsi" w:cstheme="majorHAnsi"/>
          <w:sz w:val="26"/>
          <w:szCs w:val="26"/>
        </w:rPr>
      </w:pPr>
      <w:r w:rsidRPr="00C01212">
        <w:rPr>
          <w:rFonts w:asciiTheme="majorHAnsi" w:hAnsiTheme="majorHAnsi" w:cstheme="majorHAnsi"/>
          <w:sz w:val="26"/>
          <w:szCs w:val="26"/>
        </w:rPr>
        <w:t>Trong năm 201</w:t>
      </w:r>
      <w:r w:rsidR="00B25B12">
        <w:rPr>
          <w:rFonts w:asciiTheme="majorHAnsi" w:hAnsiTheme="majorHAnsi" w:cstheme="majorHAnsi"/>
          <w:sz w:val="26"/>
          <w:szCs w:val="26"/>
        </w:rPr>
        <w:t>5</w:t>
      </w:r>
      <w:r w:rsidRPr="00C01212">
        <w:rPr>
          <w:rFonts w:asciiTheme="majorHAnsi" w:hAnsiTheme="majorHAnsi" w:cstheme="majorHAnsi"/>
          <w:sz w:val="26"/>
          <w:szCs w:val="26"/>
        </w:rPr>
        <w:t xml:space="preserve">, </w:t>
      </w:r>
      <w:r w:rsidR="00C01212">
        <w:rPr>
          <w:rFonts w:asciiTheme="majorHAnsi" w:hAnsiTheme="majorHAnsi" w:cstheme="majorHAnsi"/>
          <w:sz w:val="26"/>
          <w:szCs w:val="26"/>
        </w:rPr>
        <w:t>TTB</w:t>
      </w:r>
      <w:r w:rsidRPr="00C01212">
        <w:rPr>
          <w:rFonts w:asciiTheme="majorHAnsi" w:hAnsiTheme="majorHAnsi" w:cstheme="majorHAnsi"/>
          <w:sz w:val="26"/>
          <w:szCs w:val="26"/>
        </w:rPr>
        <w:t xml:space="preserve"> tăng vốn chủ sở hữu từ lợi nhuận sau thuế là </w:t>
      </w:r>
      <w:r w:rsidR="00C017C8" w:rsidRPr="00C01212">
        <w:rPr>
          <w:rFonts w:asciiTheme="majorHAnsi" w:hAnsiTheme="majorHAnsi" w:cstheme="majorHAnsi"/>
          <w:sz w:val="26"/>
          <w:szCs w:val="26"/>
        </w:rPr>
        <w:t xml:space="preserve">3,5 </w:t>
      </w:r>
      <w:r w:rsidRPr="00C01212">
        <w:rPr>
          <w:rFonts w:asciiTheme="majorHAnsi" w:hAnsiTheme="majorHAnsi" w:cstheme="majorHAnsi"/>
          <w:sz w:val="26"/>
          <w:szCs w:val="26"/>
        </w:rPr>
        <w:t>tỷ đồng</w:t>
      </w:r>
      <w:r w:rsidR="00C017C8" w:rsidRPr="00C01212">
        <w:rPr>
          <w:rFonts w:asciiTheme="majorHAnsi" w:hAnsiTheme="majorHAnsi" w:cstheme="majorHAnsi"/>
          <w:sz w:val="26"/>
          <w:szCs w:val="26"/>
        </w:rPr>
        <w:t xml:space="preserve"> và 35 tỷ đồng tăng vốn từ phát hành cổ phiếu ra công chúng</w:t>
      </w:r>
      <w:r w:rsidRPr="00C01212">
        <w:rPr>
          <w:rFonts w:asciiTheme="majorHAnsi" w:hAnsiTheme="majorHAnsi" w:cstheme="majorHAnsi"/>
          <w:sz w:val="26"/>
          <w:szCs w:val="26"/>
        </w:rPr>
        <w:t>.</w:t>
      </w:r>
    </w:p>
    <w:p w:rsidR="0004750B" w:rsidRPr="00345F18" w:rsidRDefault="0004750B" w:rsidP="00345F18">
      <w:pPr>
        <w:pStyle w:val="ListParagraph"/>
        <w:numPr>
          <w:ilvl w:val="0"/>
          <w:numId w:val="1"/>
        </w:numPr>
        <w:ind w:left="567" w:hanging="425"/>
        <w:jc w:val="both"/>
        <w:rPr>
          <w:rFonts w:asciiTheme="majorHAnsi" w:hAnsiTheme="majorHAnsi" w:cstheme="majorHAnsi"/>
          <w:b/>
          <w:sz w:val="26"/>
          <w:szCs w:val="26"/>
        </w:rPr>
      </w:pPr>
      <w:r w:rsidRPr="00345F18">
        <w:rPr>
          <w:rFonts w:asciiTheme="majorHAnsi" w:hAnsiTheme="majorHAnsi" w:cstheme="majorHAnsi"/>
          <w:b/>
          <w:sz w:val="26"/>
          <w:szCs w:val="26"/>
        </w:rPr>
        <w:t>Tăng trưởng doanh thu và lợi nhuận</w:t>
      </w:r>
    </w:p>
    <w:p w:rsidR="0004750B" w:rsidRPr="00345F18" w:rsidRDefault="0004750B" w:rsidP="00345F18">
      <w:pPr>
        <w:pStyle w:val="ListParagraph"/>
        <w:numPr>
          <w:ilvl w:val="0"/>
          <w:numId w:val="6"/>
        </w:numPr>
        <w:ind w:left="426" w:hanging="426"/>
        <w:jc w:val="both"/>
        <w:rPr>
          <w:rFonts w:asciiTheme="majorHAnsi" w:hAnsiTheme="majorHAnsi" w:cstheme="majorHAnsi"/>
          <w:sz w:val="26"/>
          <w:szCs w:val="26"/>
        </w:rPr>
      </w:pPr>
      <w:r w:rsidRPr="00345F18">
        <w:rPr>
          <w:rFonts w:asciiTheme="majorHAnsi" w:hAnsiTheme="majorHAnsi" w:cstheme="majorHAnsi"/>
          <w:sz w:val="26"/>
          <w:szCs w:val="26"/>
        </w:rPr>
        <w:t>Doanh thu năm 201</w:t>
      </w:r>
      <w:r w:rsidR="00C017C8" w:rsidRPr="00345F18">
        <w:rPr>
          <w:rFonts w:asciiTheme="majorHAnsi" w:hAnsiTheme="majorHAnsi" w:cstheme="majorHAnsi"/>
          <w:sz w:val="26"/>
          <w:szCs w:val="26"/>
        </w:rPr>
        <w:t>5</w:t>
      </w:r>
      <w:r w:rsidRPr="00345F18">
        <w:rPr>
          <w:rFonts w:asciiTheme="majorHAnsi" w:hAnsiTheme="majorHAnsi" w:cstheme="majorHAnsi"/>
          <w:sz w:val="26"/>
          <w:szCs w:val="26"/>
        </w:rPr>
        <w:t xml:space="preserve"> đạt </w:t>
      </w:r>
      <w:r w:rsidR="00C017C8" w:rsidRPr="00345F18">
        <w:rPr>
          <w:rFonts w:asciiTheme="majorHAnsi" w:hAnsiTheme="majorHAnsi" w:cstheme="majorHAnsi"/>
          <w:sz w:val="26"/>
          <w:szCs w:val="26"/>
        </w:rPr>
        <w:t>152,7</w:t>
      </w:r>
      <w:r w:rsidRPr="00345F18">
        <w:rPr>
          <w:rFonts w:asciiTheme="majorHAnsi" w:hAnsiTheme="majorHAnsi" w:cstheme="majorHAnsi"/>
          <w:sz w:val="26"/>
          <w:szCs w:val="26"/>
        </w:rPr>
        <w:t xml:space="preserve"> tỷ đồng, tăng </w:t>
      </w:r>
      <w:r w:rsidR="00C017C8" w:rsidRPr="00345F18">
        <w:rPr>
          <w:rFonts w:asciiTheme="majorHAnsi" w:hAnsiTheme="majorHAnsi" w:cstheme="majorHAnsi"/>
          <w:sz w:val="26"/>
          <w:szCs w:val="26"/>
        </w:rPr>
        <w:t>69,53</w:t>
      </w:r>
      <w:r w:rsidRPr="00345F18">
        <w:rPr>
          <w:rFonts w:asciiTheme="majorHAnsi" w:hAnsiTheme="majorHAnsi" w:cstheme="majorHAnsi"/>
          <w:sz w:val="26"/>
          <w:szCs w:val="26"/>
        </w:rPr>
        <w:t xml:space="preserve"> tỷ đồng so với năm 201</w:t>
      </w:r>
      <w:r w:rsidR="00C017C8" w:rsidRPr="00345F18">
        <w:rPr>
          <w:rFonts w:asciiTheme="majorHAnsi" w:hAnsiTheme="majorHAnsi" w:cstheme="majorHAnsi"/>
          <w:sz w:val="26"/>
          <w:szCs w:val="26"/>
        </w:rPr>
        <w:t>4</w:t>
      </w:r>
      <w:r w:rsidRPr="00345F18">
        <w:rPr>
          <w:rFonts w:asciiTheme="majorHAnsi" w:hAnsiTheme="majorHAnsi" w:cstheme="majorHAnsi"/>
          <w:sz w:val="26"/>
          <w:szCs w:val="26"/>
        </w:rPr>
        <w:t xml:space="preserve"> (tươngđương </w:t>
      </w:r>
      <w:r w:rsidR="00C017C8" w:rsidRPr="00345F18">
        <w:rPr>
          <w:rFonts w:asciiTheme="majorHAnsi" w:hAnsiTheme="majorHAnsi" w:cstheme="majorHAnsi"/>
          <w:sz w:val="26"/>
          <w:szCs w:val="26"/>
        </w:rPr>
        <w:t>83,59</w:t>
      </w:r>
      <w:r w:rsidRPr="00345F18">
        <w:rPr>
          <w:rFonts w:asciiTheme="majorHAnsi" w:hAnsiTheme="majorHAnsi" w:cstheme="majorHAnsi"/>
          <w:sz w:val="26"/>
          <w:szCs w:val="26"/>
        </w:rPr>
        <w:t>%). Trong năm 201</w:t>
      </w:r>
      <w:r w:rsidR="00C017C8" w:rsidRPr="00345F18">
        <w:rPr>
          <w:rFonts w:asciiTheme="majorHAnsi" w:hAnsiTheme="majorHAnsi" w:cstheme="majorHAnsi"/>
          <w:sz w:val="26"/>
          <w:szCs w:val="26"/>
        </w:rPr>
        <w:t>5</w:t>
      </w:r>
      <w:r w:rsidRPr="00345F18">
        <w:rPr>
          <w:rFonts w:asciiTheme="majorHAnsi" w:hAnsiTheme="majorHAnsi" w:cstheme="majorHAnsi"/>
          <w:sz w:val="26"/>
          <w:szCs w:val="26"/>
        </w:rPr>
        <w:t>, doanh thu tă</w:t>
      </w:r>
      <w:r w:rsidR="00C017C8" w:rsidRPr="00345F18">
        <w:rPr>
          <w:rFonts w:asciiTheme="majorHAnsi" w:hAnsiTheme="majorHAnsi" w:cstheme="majorHAnsi"/>
          <w:sz w:val="26"/>
          <w:szCs w:val="26"/>
        </w:rPr>
        <w:t>ng đột biến do hoạt động kinh doanh Bất động sản và cầu lông bắt đầu ghi nhận doanh thu trong đó Doanh thu từ bất động sản là hơn 70 tỷ đồng và từ sản xuất và kinh doanh cầu lông là gần 6 tỷ đồng.</w:t>
      </w:r>
    </w:p>
    <w:p w:rsidR="0004750B" w:rsidRPr="00345F18" w:rsidRDefault="0004750B" w:rsidP="00345F18">
      <w:pPr>
        <w:pStyle w:val="ListParagraph"/>
        <w:numPr>
          <w:ilvl w:val="0"/>
          <w:numId w:val="6"/>
        </w:numPr>
        <w:ind w:left="426" w:hanging="426"/>
        <w:jc w:val="both"/>
        <w:rPr>
          <w:rFonts w:asciiTheme="majorHAnsi" w:hAnsiTheme="majorHAnsi" w:cstheme="majorHAnsi"/>
          <w:sz w:val="26"/>
          <w:szCs w:val="26"/>
        </w:rPr>
      </w:pPr>
      <w:r w:rsidRPr="00345F18">
        <w:rPr>
          <w:rFonts w:asciiTheme="majorHAnsi" w:hAnsiTheme="majorHAnsi" w:cstheme="majorHAnsi"/>
          <w:sz w:val="26"/>
          <w:szCs w:val="26"/>
        </w:rPr>
        <w:t xml:space="preserve">Lợi nhuận gộp cả năm đạt </w:t>
      </w:r>
      <w:r w:rsidR="00C01212" w:rsidRPr="00345F18">
        <w:rPr>
          <w:rFonts w:asciiTheme="majorHAnsi" w:hAnsiTheme="majorHAnsi" w:cstheme="majorHAnsi"/>
          <w:sz w:val="26"/>
          <w:szCs w:val="26"/>
        </w:rPr>
        <w:t>gần 28 tỷ đồng</w:t>
      </w:r>
      <w:r w:rsidRPr="00345F18">
        <w:rPr>
          <w:rFonts w:asciiTheme="majorHAnsi" w:hAnsiTheme="majorHAnsi" w:cstheme="majorHAnsi"/>
          <w:sz w:val="26"/>
          <w:szCs w:val="26"/>
        </w:rPr>
        <w:t xml:space="preserve"> tỷ đồng với tỷ lệ lợi nhuận gộp bình quân đạt </w:t>
      </w:r>
      <w:r w:rsidR="00C01212" w:rsidRPr="00345F18">
        <w:rPr>
          <w:rFonts w:asciiTheme="majorHAnsi" w:hAnsiTheme="majorHAnsi" w:cstheme="majorHAnsi"/>
          <w:sz w:val="26"/>
          <w:szCs w:val="26"/>
        </w:rPr>
        <w:t>18</w:t>
      </w:r>
      <w:r w:rsidRPr="00345F18">
        <w:rPr>
          <w:rFonts w:asciiTheme="majorHAnsi" w:hAnsiTheme="majorHAnsi" w:cstheme="majorHAnsi"/>
          <w:sz w:val="26"/>
          <w:szCs w:val="26"/>
        </w:rPr>
        <w:t>% trêntổng doanh thu.</w:t>
      </w:r>
    </w:p>
    <w:p w:rsidR="0004750B" w:rsidRPr="00345F18" w:rsidRDefault="0004750B" w:rsidP="00345F18">
      <w:pPr>
        <w:pStyle w:val="ListParagraph"/>
        <w:numPr>
          <w:ilvl w:val="0"/>
          <w:numId w:val="6"/>
        </w:numPr>
        <w:ind w:left="426" w:hanging="426"/>
        <w:jc w:val="both"/>
        <w:rPr>
          <w:rFonts w:asciiTheme="majorHAnsi" w:hAnsiTheme="majorHAnsi" w:cstheme="majorHAnsi"/>
          <w:sz w:val="26"/>
          <w:szCs w:val="26"/>
        </w:rPr>
      </w:pPr>
      <w:r w:rsidRPr="00345F18">
        <w:rPr>
          <w:rFonts w:asciiTheme="majorHAnsi" w:hAnsiTheme="majorHAnsi" w:cstheme="majorHAnsi"/>
          <w:sz w:val="26"/>
          <w:szCs w:val="26"/>
        </w:rPr>
        <w:t xml:space="preserve">Tổng lợi nhuận sau thuế đạt </w:t>
      </w:r>
      <w:r w:rsidR="00C01212" w:rsidRPr="00345F18">
        <w:rPr>
          <w:rFonts w:asciiTheme="majorHAnsi" w:hAnsiTheme="majorHAnsi" w:cstheme="majorHAnsi"/>
          <w:sz w:val="26"/>
          <w:szCs w:val="26"/>
        </w:rPr>
        <w:t>15,15</w:t>
      </w:r>
      <w:r w:rsidRPr="00345F18">
        <w:rPr>
          <w:rFonts w:asciiTheme="majorHAnsi" w:hAnsiTheme="majorHAnsi" w:cstheme="majorHAnsi"/>
          <w:sz w:val="26"/>
          <w:szCs w:val="26"/>
        </w:rPr>
        <w:t xml:space="preserve"> tỷ đồng, tăng </w:t>
      </w:r>
      <w:r w:rsidR="00C01212" w:rsidRPr="00345F18">
        <w:rPr>
          <w:rFonts w:asciiTheme="majorHAnsi" w:hAnsiTheme="majorHAnsi" w:cstheme="majorHAnsi"/>
          <w:sz w:val="26"/>
          <w:szCs w:val="26"/>
        </w:rPr>
        <w:t>4.65</w:t>
      </w:r>
      <w:r w:rsidRPr="00345F18">
        <w:rPr>
          <w:rFonts w:asciiTheme="majorHAnsi" w:hAnsiTheme="majorHAnsi" w:cstheme="majorHAnsi"/>
          <w:sz w:val="26"/>
          <w:szCs w:val="26"/>
        </w:rPr>
        <w:t xml:space="preserve"> tỷ đồng (tương đương </w:t>
      </w:r>
      <w:r w:rsidR="00C01212" w:rsidRPr="00345F18">
        <w:rPr>
          <w:rFonts w:asciiTheme="majorHAnsi" w:hAnsiTheme="majorHAnsi" w:cstheme="majorHAnsi"/>
          <w:sz w:val="26"/>
          <w:szCs w:val="26"/>
        </w:rPr>
        <w:t>44</w:t>
      </w:r>
      <w:r w:rsidRPr="00345F18">
        <w:rPr>
          <w:rFonts w:asciiTheme="majorHAnsi" w:hAnsiTheme="majorHAnsi" w:cstheme="majorHAnsi"/>
          <w:sz w:val="26"/>
          <w:szCs w:val="26"/>
        </w:rPr>
        <w:t>%) sovới năm 201</w:t>
      </w:r>
      <w:r w:rsidR="00C01212" w:rsidRPr="00345F18">
        <w:rPr>
          <w:rFonts w:asciiTheme="majorHAnsi" w:hAnsiTheme="majorHAnsi" w:cstheme="majorHAnsi"/>
          <w:sz w:val="26"/>
          <w:szCs w:val="26"/>
        </w:rPr>
        <w:t>4</w:t>
      </w:r>
      <w:r w:rsidRPr="00345F18">
        <w:rPr>
          <w:rFonts w:asciiTheme="majorHAnsi" w:hAnsiTheme="majorHAnsi" w:cstheme="majorHAnsi"/>
          <w:sz w:val="26"/>
          <w:szCs w:val="26"/>
        </w:rPr>
        <w:t xml:space="preserve">. </w:t>
      </w:r>
    </w:p>
    <w:p w:rsidR="00C01212" w:rsidRPr="00345F18" w:rsidRDefault="00C01212" w:rsidP="00345F18">
      <w:pPr>
        <w:pStyle w:val="ListParagraph"/>
        <w:numPr>
          <w:ilvl w:val="0"/>
          <w:numId w:val="6"/>
        </w:numPr>
        <w:ind w:left="426" w:hanging="426"/>
        <w:jc w:val="both"/>
        <w:rPr>
          <w:rFonts w:asciiTheme="majorHAnsi" w:hAnsiTheme="majorHAnsi" w:cstheme="majorHAnsi"/>
          <w:sz w:val="26"/>
          <w:szCs w:val="26"/>
        </w:rPr>
      </w:pPr>
      <w:r w:rsidRPr="00345F18">
        <w:rPr>
          <w:rFonts w:asciiTheme="majorHAnsi" w:hAnsiTheme="majorHAnsi" w:cstheme="majorHAnsi"/>
          <w:sz w:val="26"/>
          <w:szCs w:val="26"/>
        </w:rPr>
        <w:t>Tổng số thuế phải nộp trong năm 2015 của Công ty là 12,41 tỷ đồng trong đó thuế thu nhập doanh nghiệp là 6,19 tỷ đồng, thuế giá trị gia tăng là 4,63 tỷ đồng, các loại thuế khác 1,59 tỷ đồng.</w:t>
      </w:r>
    </w:p>
    <w:p w:rsidR="0004750B" w:rsidRDefault="00C01212" w:rsidP="00345F18">
      <w:pPr>
        <w:pStyle w:val="ListParagraph"/>
        <w:numPr>
          <w:ilvl w:val="0"/>
          <w:numId w:val="6"/>
        </w:numPr>
        <w:ind w:left="426" w:hanging="426"/>
        <w:jc w:val="both"/>
        <w:rPr>
          <w:rFonts w:asciiTheme="majorHAnsi" w:hAnsiTheme="majorHAnsi" w:cstheme="majorHAnsi"/>
          <w:sz w:val="26"/>
          <w:szCs w:val="26"/>
        </w:rPr>
      </w:pPr>
      <w:r w:rsidRPr="00345F18">
        <w:rPr>
          <w:rFonts w:asciiTheme="majorHAnsi" w:hAnsiTheme="majorHAnsi" w:cstheme="majorHAnsi"/>
          <w:sz w:val="26"/>
          <w:szCs w:val="26"/>
        </w:rPr>
        <w:t>Tổng số thuế Công ty đã nộp cho Ngân sách Nhà nước trong năm 2015 là 9,29 tỷ đồng, trong đó có 3,6 tỷ đồng là thuế thu nhập doanh nghiệp, 4,63 tỷ đồng thuế giá trị gia tăng và các loại thuế khác là 1,06 tỷ đồng.</w:t>
      </w:r>
    </w:p>
    <w:p w:rsidR="00345F18" w:rsidRDefault="00345F18" w:rsidP="00345F18">
      <w:pPr>
        <w:pStyle w:val="ListParagraph"/>
        <w:numPr>
          <w:ilvl w:val="0"/>
          <w:numId w:val="1"/>
        </w:numPr>
        <w:jc w:val="both"/>
        <w:rPr>
          <w:rFonts w:asciiTheme="majorHAnsi" w:hAnsiTheme="majorHAnsi" w:cstheme="majorHAnsi"/>
          <w:b/>
          <w:sz w:val="26"/>
          <w:szCs w:val="26"/>
        </w:rPr>
      </w:pPr>
      <w:r w:rsidRPr="00345F18">
        <w:rPr>
          <w:rFonts w:asciiTheme="majorHAnsi" w:hAnsiTheme="majorHAnsi" w:cstheme="majorHAnsi"/>
          <w:b/>
          <w:sz w:val="26"/>
          <w:szCs w:val="26"/>
        </w:rPr>
        <w:t>Các chỉ số tài chính.</w:t>
      </w:r>
    </w:p>
    <w:tbl>
      <w:tblPr>
        <w:tblW w:w="8880" w:type="dxa"/>
        <w:jc w:val="center"/>
        <w:tblInd w:w="559" w:type="dxa"/>
        <w:tblBorders>
          <w:top w:val="single" w:sz="8" w:space="0" w:color="00B050"/>
          <w:left w:val="single" w:sz="8" w:space="0" w:color="00B050"/>
          <w:bottom w:val="single" w:sz="8" w:space="0" w:color="00B050"/>
          <w:right w:val="single" w:sz="8" w:space="0" w:color="00B050"/>
          <w:insideH w:val="single" w:sz="8" w:space="0" w:color="00B050"/>
          <w:insideV w:val="single" w:sz="8" w:space="0" w:color="00B050"/>
        </w:tblBorders>
        <w:tblLayout w:type="fixed"/>
        <w:tblLook w:val="0000"/>
      </w:tblPr>
      <w:tblGrid>
        <w:gridCol w:w="4530"/>
        <w:gridCol w:w="1465"/>
        <w:gridCol w:w="1467"/>
        <w:gridCol w:w="1418"/>
      </w:tblGrid>
      <w:tr w:rsidR="00345F18" w:rsidRPr="007013DD" w:rsidTr="002345AE">
        <w:trPr>
          <w:trHeight w:val="495"/>
          <w:tblHeader/>
          <w:jc w:val="center"/>
        </w:trPr>
        <w:tc>
          <w:tcPr>
            <w:tcW w:w="4530" w:type="dxa"/>
            <w:shd w:val="clear" w:color="auto" w:fill="D9D9D9"/>
            <w:vAlign w:val="center"/>
          </w:tcPr>
          <w:p w:rsidR="00345F18" w:rsidRPr="007013DD" w:rsidRDefault="00345F18" w:rsidP="00EC1A0A">
            <w:pPr>
              <w:spacing w:line="240" w:lineRule="auto"/>
              <w:jc w:val="center"/>
              <w:rPr>
                <w:rFonts w:asciiTheme="majorHAnsi" w:hAnsiTheme="majorHAnsi" w:cstheme="majorHAnsi"/>
                <w:b/>
                <w:bCs/>
                <w:sz w:val="24"/>
                <w:szCs w:val="24"/>
              </w:rPr>
            </w:pPr>
            <w:r w:rsidRPr="007013DD">
              <w:rPr>
                <w:rFonts w:asciiTheme="majorHAnsi" w:hAnsiTheme="majorHAnsi" w:cstheme="majorHAnsi"/>
                <w:b/>
                <w:bCs/>
                <w:sz w:val="24"/>
                <w:szCs w:val="24"/>
              </w:rPr>
              <w:t>Chỉ tiêu</w:t>
            </w:r>
          </w:p>
        </w:tc>
        <w:tc>
          <w:tcPr>
            <w:tcW w:w="1465" w:type="dxa"/>
            <w:shd w:val="clear" w:color="auto" w:fill="D9D9D9"/>
            <w:vAlign w:val="center"/>
          </w:tcPr>
          <w:p w:rsidR="00345F18" w:rsidRPr="007013DD" w:rsidRDefault="00345F18" w:rsidP="00EC1A0A">
            <w:pPr>
              <w:spacing w:line="240" w:lineRule="auto"/>
              <w:jc w:val="center"/>
              <w:rPr>
                <w:rFonts w:asciiTheme="majorHAnsi" w:hAnsiTheme="majorHAnsi" w:cstheme="majorHAnsi"/>
                <w:b/>
                <w:bCs/>
                <w:sz w:val="24"/>
                <w:szCs w:val="24"/>
                <w:highlight w:val="green"/>
              </w:rPr>
            </w:pPr>
            <w:r w:rsidRPr="007013DD">
              <w:rPr>
                <w:rFonts w:asciiTheme="majorHAnsi" w:hAnsiTheme="majorHAnsi" w:cstheme="majorHAnsi"/>
                <w:b/>
                <w:bCs/>
                <w:sz w:val="24"/>
                <w:szCs w:val="24"/>
              </w:rPr>
              <w:t>Năm 2013</w:t>
            </w:r>
          </w:p>
        </w:tc>
        <w:tc>
          <w:tcPr>
            <w:tcW w:w="1467" w:type="dxa"/>
            <w:shd w:val="clear" w:color="auto" w:fill="D9D9D9"/>
            <w:vAlign w:val="center"/>
          </w:tcPr>
          <w:p w:rsidR="00345F18" w:rsidRPr="007013DD" w:rsidRDefault="00345F18" w:rsidP="00EC1A0A">
            <w:pPr>
              <w:spacing w:line="240" w:lineRule="auto"/>
              <w:jc w:val="center"/>
              <w:rPr>
                <w:rFonts w:asciiTheme="majorHAnsi" w:hAnsiTheme="majorHAnsi" w:cstheme="majorHAnsi"/>
                <w:b/>
                <w:bCs/>
                <w:sz w:val="24"/>
                <w:szCs w:val="24"/>
                <w:highlight w:val="green"/>
              </w:rPr>
            </w:pPr>
            <w:r w:rsidRPr="007013DD">
              <w:rPr>
                <w:rFonts w:asciiTheme="majorHAnsi" w:hAnsiTheme="majorHAnsi" w:cstheme="majorHAnsi"/>
                <w:b/>
                <w:bCs/>
                <w:sz w:val="24"/>
                <w:szCs w:val="24"/>
              </w:rPr>
              <w:t>Năm 2014</w:t>
            </w:r>
          </w:p>
        </w:tc>
        <w:tc>
          <w:tcPr>
            <w:tcW w:w="1418" w:type="dxa"/>
            <w:shd w:val="clear" w:color="auto" w:fill="D9D9D9"/>
            <w:vAlign w:val="center"/>
          </w:tcPr>
          <w:p w:rsidR="00345F18" w:rsidRPr="007013DD" w:rsidRDefault="00345F18" w:rsidP="00EC1A0A">
            <w:pPr>
              <w:spacing w:line="240" w:lineRule="auto"/>
              <w:jc w:val="center"/>
              <w:rPr>
                <w:rFonts w:asciiTheme="majorHAnsi" w:hAnsiTheme="majorHAnsi" w:cstheme="majorHAnsi"/>
                <w:b/>
                <w:bCs/>
                <w:sz w:val="24"/>
                <w:szCs w:val="24"/>
              </w:rPr>
            </w:pPr>
            <w:r w:rsidRPr="007013DD">
              <w:rPr>
                <w:rFonts w:asciiTheme="majorHAnsi" w:hAnsiTheme="majorHAnsi" w:cstheme="majorHAnsi"/>
                <w:b/>
                <w:bCs/>
                <w:sz w:val="24"/>
                <w:szCs w:val="24"/>
              </w:rPr>
              <w:t>Năm 2015</w:t>
            </w:r>
          </w:p>
        </w:tc>
      </w:tr>
      <w:tr w:rsidR="00345F18" w:rsidRPr="007013DD" w:rsidTr="002345AE">
        <w:trPr>
          <w:trHeight w:val="411"/>
          <w:jc w:val="center"/>
        </w:trPr>
        <w:tc>
          <w:tcPr>
            <w:tcW w:w="4530" w:type="dxa"/>
            <w:shd w:val="clear" w:color="auto" w:fill="DBE5F1"/>
            <w:vAlign w:val="center"/>
          </w:tcPr>
          <w:p w:rsidR="00345F18" w:rsidRPr="007013DD" w:rsidRDefault="00345F18" w:rsidP="00EC1A0A">
            <w:pPr>
              <w:spacing w:line="240" w:lineRule="auto"/>
              <w:rPr>
                <w:rFonts w:asciiTheme="majorHAnsi" w:hAnsiTheme="majorHAnsi" w:cstheme="majorHAnsi"/>
                <w:b/>
                <w:bCs/>
                <w:sz w:val="24"/>
                <w:szCs w:val="24"/>
              </w:rPr>
            </w:pPr>
            <w:r w:rsidRPr="007013DD">
              <w:rPr>
                <w:rFonts w:asciiTheme="majorHAnsi" w:hAnsiTheme="majorHAnsi" w:cstheme="majorHAnsi"/>
                <w:b/>
                <w:bCs/>
                <w:sz w:val="24"/>
                <w:szCs w:val="24"/>
              </w:rPr>
              <w:lastRenderedPageBreak/>
              <w:t>1. Chỉ tiêu về khả năng thanh toán (lần)</w:t>
            </w:r>
          </w:p>
        </w:tc>
        <w:tc>
          <w:tcPr>
            <w:tcW w:w="1465" w:type="dxa"/>
            <w:shd w:val="clear" w:color="auto" w:fill="DBE5F1"/>
            <w:vAlign w:val="center"/>
          </w:tcPr>
          <w:p w:rsidR="00345F18" w:rsidRPr="007013DD" w:rsidRDefault="00345F18" w:rsidP="00EC1A0A">
            <w:pPr>
              <w:spacing w:line="240" w:lineRule="auto"/>
              <w:jc w:val="right"/>
              <w:rPr>
                <w:rFonts w:asciiTheme="majorHAnsi" w:hAnsiTheme="majorHAnsi" w:cstheme="majorHAnsi"/>
                <w:sz w:val="24"/>
                <w:szCs w:val="24"/>
                <w:highlight w:val="green"/>
              </w:rPr>
            </w:pPr>
          </w:p>
        </w:tc>
        <w:tc>
          <w:tcPr>
            <w:tcW w:w="1467" w:type="dxa"/>
            <w:shd w:val="clear" w:color="auto" w:fill="DBE5F1"/>
            <w:vAlign w:val="center"/>
          </w:tcPr>
          <w:p w:rsidR="00345F18" w:rsidRPr="007013DD" w:rsidRDefault="00345F18" w:rsidP="00EC1A0A">
            <w:pPr>
              <w:spacing w:line="240" w:lineRule="auto"/>
              <w:jc w:val="right"/>
              <w:rPr>
                <w:rFonts w:asciiTheme="majorHAnsi" w:hAnsiTheme="majorHAnsi" w:cstheme="majorHAnsi"/>
                <w:sz w:val="24"/>
                <w:szCs w:val="24"/>
                <w:highlight w:val="green"/>
              </w:rPr>
            </w:pPr>
          </w:p>
        </w:tc>
        <w:tc>
          <w:tcPr>
            <w:tcW w:w="1418" w:type="dxa"/>
            <w:shd w:val="clear" w:color="auto" w:fill="DBE5F1"/>
          </w:tcPr>
          <w:p w:rsidR="00345F18" w:rsidRPr="007013DD" w:rsidRDefault="00345F18" w:rsidP="00EC1A0A">
            <w:pPr>
              <w:spacing w:line="240" w:lineRule="auto"/>
              <w:jc w:val="right"/>
              <w:rPr>
                <w:rFonts w:asciiTheme="majorHAnsi" w:hAnsiTheme="majorHAnsi" w:cstheme="majorHAnsi"/>
                <w:sz w:val="24"/>
                <w:szCs w:val="24"/>
                <w:highlight w:val="yellow"/>
              </w:rPr>
            </w:pPr>
          </w:p>
        </w:tc>
      </w:tr>
      <w:tr w:rsidR="00345F18" w:rsidRPr="007013DD" w:rsidTr="002345AE">
        <w:trPr>
          <w:trHeight w:val="411"/>
          <w:jc w:val="center"/>
        </w:trPr>
        <w:tc>
          <w:tcPr>
            <w:tcW w:w="4530" w:type="dxa"/>
            <w:vAlign w:val="center"/>
          </w:tcPr>
          <w:p w:rsidR="00345F18" w:rsidRPr="007013DD" w:rsidRDefault="00345F18" w:rsidP="00EC1A0A">
            <w:pPr>
              <w:spacing w:line="240" w:lineRule="auto"/>
              <w:rPr>
                <w:rFonts w:asciiTheme="majorHAnsi" w:hAnsiTheme="majorHAnsi" w:cstheme="majorHAnsi"/>
                <w:sz w:val="24"/>
                <w:szCs w:val="24"/>
              </w:rPr>
            </w:pPr>
            <w:r w:rsidRPr="007013DD">
              <w:rPr>
                <w:rFonts w:asciiTheme="majorHAnsi" w:hAnsiTheme="majorHAnsi" w:cstheme="majorHAnsi"/>
                <w:sz w:val="24"/>
                <w:szCs w:val="24"/>
              </w:rPr>
              <w:t>Hệ số thanh toán ngắn hạn</w:t>
            </w:r>
          </w:p>
        </w:tc>
        <w:tc>
          <w:tcPr>
            <w:tcW w:w="1465" w:type="dxa"/>
            <w:vAlign w:val="center"/>
          </w:tcPr>
          <w:p w:rsidR="00345F18" w:rsidRPr="007013DD" w:rsidRDefault="00345F18" w:rsidP="00EC1A0A">
            <w:pPr>
              <w:spacing w:line="240" w:lineRule="auto"/>
              <w:jc w:val="right"/>
              <w:rPr>
                <w:rFonts w:asciiTheme="majorHAnsi" w:hAnsiTheme="majorHAnsi" w:cstheme="majorHAnsi"/>
                <w:sz w:val="24"/>
                <w:szCs w:val="24"/>
              </w:rPr>
            </w:pPr>
            <w:r w:rsidRPr="007013DD">
              <w:rPr>
                <w:rFonts w:asciiTheme="majorHAnsi" w:hAnsiTheme="majorHAnsi" w:cstheme="majorHAnsi"/>
                <w:sz w:val="24"/>
                <w:szCs w:val="24"/>
              </w:rPr>
              <w:t>3,91</w:t>
            </w:r>
          </w:p>
        </w:tc>
        <w:tc>
          <w:tcPr>
            <w:tcW w:w="1467" w:type="dxa"/>
            <w:vAlign w:val="center"/>
          </w:tcPr>
          <w:p w:rsidR="00345F18" w:rsidRPr="007013DD" w:rsidRDefault="00345F18" w:rsidP="00EC1A0A">
            <w:pPr>
              <w:spacing w:line="240" w:lineRule="auto"/>
              <w:jc w:val="right"/>
              <w:rPr>
                <w:rFonts w:asciiTheme="majorHAnsi" w:hAnsiTheme="majorHAnsi" w:cstheme="majorHAnsi"/>
                <w:sz w:val="24"/>
                <w:szCs w:val="24"/>
              </w:rPr>
            </w:pPr>
            <w:r w:rsidRPr="007013DD">
              <w:rPr>
                <w:rFonts w:asciiTheme="majorHAnsi" w:hAnsiTheme="majorHAnsi" w:cstheme="majorHAnsi"/>
                <w:sz w:val="24"/>
                <w:szCs w:val="24"/>
              </w:rPr>
              <w:t xml:space="preserve"> 5,69</w:t>
            </w:r>
          </w:p>
        </w:tc>
        <w:tc>
          <w:tcPr>
            <w:tcW w:w="1418" w:type="dxa"/>
            <w:vAlign w:val="center"/>
          </w:tcPr>
          <w:p w:rsidR="00345F18" w:rsidRPr="007013DD" w:rsidRDefault="00345F18" w:rsidP="00EC1A0A">
            <w:pPr>
              <w:spacing w:line="240" w:lineRule="auto"/>
              <w:jc w:val="right"/>
              <w:rPr>
                <w:rFonts w:asciiTheme="majorHAnsi" w:hAnsiTheme="majorHAnsi" w:cstheme="majorHAnsi"/>
                <w:sz w:val="24"/>
                <w:szCs w:val="24"/>
              </w:rPr>
            </w:pPr>
            <w:r w:rsidRPr="007013DD">
              <w:rPr>
                <w:rFonts w:asciiTheme="majorHAnsi" w:hAnsiTheme="majorHAnsi" w:cstheme="majorHAnsi"/>
                <w:sz w:val="24"/>
                <w:szCs w:val="24"/>
              </w:rPr>
              <w:t xml:space="preserve">1,88 </w:t>
            </w:r>
          </w:p>
        </w:tc>
      </w:tr>
      <w:tr w:rsidR="00345F18" w:rsidRPr="007013DD" w:rsidTr="002345AE">
        <w:trPr>
          <w:trHeight w:val="411"/>
          <w:jc w:val="center"/>
        </w:trPr>
        <w:tc>
          <w:tcPr>
            <w:tcW w:w="4530" w:type="dxa"/>
            <w:vAlign w:val="center"/>
          </w:tcPr>
          <w:p w:rsidR="00345F18" w:rsidRPr="007013DD" w:rsidRDefault="00345F18" w:rsidP="00EC1A0A">
            <w:pPr>
              <w:spacing w:line="240" w:lineRule="auto"/>
              <w:rPr>
                <w:rFonts w:asciiTheme="majorHAnsi" w:hAnsiTheme="majorHAnsi" w:cstheme="majorHAnsi"/>
                <w:sz w:val="24"/>
                <w:szCs w:val="24"/>
              </w:rPr>
            </w:pPr>
            <w:r w:rsidRPr="007013DD">
              <w:rPr>
                <w:rFonts w:asciiTheme="majorHAnsi" w:hAnsiTheme="majorHAnsi" w:cstheme="majorHAnsi"/>
                <w:sz w:val="24"/>
                <w:szCs w:val="24"/>
              </w:rPr>
              <w:t>Hệ số thanh toán nhanh</w:t>
            </w:r>
          </w:p>
        </w:tc>
        <w:tc>
          <w:tcPr>
            <w:tcW w:w="1465" w:type="dxa"/>
            <w:vAlign w:val="center"/>
          </w:tcPr>
          <w:p w:rsidR="00345F18" w:rsidRPr="007013DD" w:rsidRDefault="00345F18" w:rsidP="00EC1A0A">
            <w:pPr>
              <w:spacing w:line="240" w:lineRule="auto"/>
              <w:jc w:val="right"/>
              <w:rPr>
                <w:rFonts w:asciiTheme="majorHAnsi" w:hAnsiTheme="majorHAnsi" w:cstheme="majorHAnsi"/>
                <w:sz w:val="24"/>
                <w:szCs w:val="24"/>
              </w:rPr>
            </w:pPr>
            <w:r w:rsidRPr="007013DD">
              <w:rPr>
                <w:rFonts w:asciiTheme="majorHAnsi" w:hAnsiTheme="majorHAnsi" w:cstheme="majorHAnsi"/>
                <w:sz w:val="24"/>
                <w:szCs w:val="24"/>
              </w:rPr>
              <w:t>1,65</w:t>
            </w:r>
          </w:p>
        </w:tc>
        <w:tc>
          <w:tcPr>
            <w:tcW w:w="1467" w:type="dxa"/>
            <w:vAlign w:val="center"/>
          </w:tcPr>
          <w:p w:rsidR="00345F18" w:rsidRPr="007013DD" w:rsidRDefault="00345F18" w:rsidP="00EC1A0A">
            <w:pPr>
              <w:spacing w:line="240" w:lineRule="auto"/>
              <w:jc w:val="right"/>
              <w:rPr>
                <w:rFonts w:asciiTheme="majorHAnsi" w:hAnsiTheme="majorHAnsi" w:cstheme="majorHAnsi"/>
                <w:sz w:val="24"/>
                <w:szCs w:val="24"/>
              </w:rPr>
            </w:pPr>
            <w:r w:rsidRPr="007013DD">
              <w:rPr>
                <w:rFonts w:asciiTheme="majorHAnsi" w:hAnsiTheme="majorHAnsi" w:cstheme="majorHAnsi"/>
                <w:sz w:val="24"/>
                <w:szCs w:val="24"/>
              </w:rPr>
              <w:t>2,79</w:t>
            </w:r>
          </w:p>
        </w:tc>
        <w:tc>
          <w:tcPr>
            <w:tcW w:w="1418" w:type="dxa"/>
            <w:vAlign w:val="center"/>
          </w:tcPr>
          <w:p w:rsidR="00345F18" w:rsidRPr="007013DD" w:rsidRDefault="00345F18" w:rsidP="00EC1A0A">
            <w:pPr>
              <w:spacing w:line="240" w:lineRule="auto"/>
              <w:jc w:val="right"/>
              <w:rPr>
                <w:rFonts w:asciiTheme="majorHAnsi" w:hAnsiTheme="majorHAnsi" w:cstheme="majorHAnsi"/>
                <w:sz w:val="24"/>
                <w:szCs w:val="24"/>
              </w:rPr>
            </w:pPr>
            <w:r w:rsidRPr="007013DD">
              <w:rPr>
                <w:rFonts w:asciiTheme="majorHAnsi" w:hAnsiTheme="majorHAnsi" w:cstheme="majorHAnsi"/>
                <w:sz w:val="24"/>
                <w:szCs w:val="24"/>
              </w:rPr>
              <w:t xml:space="preserve">0,37 </w:t>
            </w:r>
          </w:p>
        </w:tc>
      </w:tr>
      <w:tr w:rsidR="00345F18" w:rsidRPr="007013DD" w:rsidTr="002345AE">
        <w:trPr>
          <w:trHeight w:val="411"/>
          <w:jc w:val="center"/>
        </w:trPr>
        <w:tc>
          <w:tcPr>
            <w:tcW w:w="4530" w:type="dxa"/>
            <w:shd w:val="clear" w:color="auto" w:fill="DBE5F1"/>
            <w:vAlign w:val="center"/>
          </w:tcPr>
          <w:p w:rsidR="00345F18" w:rsidRPr="007013DD" w:rsidRDefault="00345F18" w:rsidP="00EC1A0A">
            <w:pPr>
              <w:spacing w:line="240" w:lineRule="auto"/>
              <w:rPr>
                <w:rFonts w:asciiTheme="majorHAnsi" w:hAnsiTheme="majorHAnsi" w:cstheme="majorHAnsi"/>
                <w:b/>
                <w:bCs/>
                <w:sz w:val="24"/>
                <w:szCs w:val="24"/>
              </w:rPr>
            </w:pPr>
            <w:r w:rsidRPr="007013DD">
              <w:rPr>
                <w:rFonts w:asciiTheme="majorHAnsi" w:hAnsiTheme="majorHAnsi" w:cstheme="majorHAnsi"/>
                <w:b/>
                <w:bCs/>
                <w:sz w:val="24"/>
                <w:szCs w:val="24"/>
              </w:rPr>
              <w:t>2. Chỉ tiêu về cơ cấu vốn (lần)</w:t>
            </w:r>
          </w:p>
        </w:tc>
        <w:tc>
          <w:tcPr>
            <w:tcW w:w="1465" w:type="dxa"/>
            <w:shd w:val="clear" w:color="auto" w:fill="DBE5F1"/>
            <w:vAlign w:val="center"/>
          </w:tcPr>
          <w:p w:rsidR="00345F18" w:rsidRPr="007013DD" w:rsidRDefault="00345F18" w:rsidP="00EC1A0A">
            <w:pPr>
              <w:spacing w:line="240" w:lineRule="auto"/>
              <w:jc w:val="right"/>
              <w:rPr>
                <w:rFonts w:asciiTheme="majorHAnsi" w:hAnsiTheme="majorHAnsi" w:cstheme="majorHAnsi"/>
                <w:sz w:val="24"/>
                <w:szCs w:val="24"/>
                <w:highlight w:val="green"/>
              </w:rPr>
            </w:pPr>
          </w:p>
        </w:tc>
        <w:tc>
          <w:tcPr>
            <w:tcW w:w="1467" w:type="dxa"/>
            <w:shd w:val="clear" w:color="auto" w:fill="DBE5F1"/>
            <w:vAlign w:val="center"/>
          </w:tcPr>
          <w:p w:rsidR="00345F18" w:rsidRPr="007013DD" w:rsidRDefault="00345F18" w:rsidP="00EC1A0A">
            <w:pPr>
              <w:spacing w:line="240" w:lineRule="auto"/>
              <w:jc w:val="right"/>
              <w:rPr>
                <w:rFonts w:asciiTheme="majorHAnsi" w:hAnsiTheme="majorHAnsi" w:cstheme="majorHAnsi"/>
                <w:sz w:val="24"/>
                <w:szCs w:val="24"/>
                <w:highlight w:val="green"/>
              </w:rPr>
            </w:pPr>
          </w:p>
        </w:tc>
        <w:tc>
          <w:tcPr>
            <w:tcW w:w="1418" w:type="dxa"/>
            <w:shd w:val="clear" w:color="auto" w:fill="DBE5F1"/>
            <w:vAlign w:val="center"/>
          </w:tcPr>
          <w:p w:rsidR="00345F18" w:rsidRPr="007013DD" w:rsidRDefault="00345F18" w:rsidP="00EC1A0A">
            <w:pPr>
              <w:spacing w:line="240" w:lineRule="auto"/>
              <w:jc w:val="right"/>
              <w:rPr>
                <w:rFonts w:asciiTheme="majorHAnsi" w:hAnsiTheme="majorHAnsi" w:cstheme="majorHAnsi"/>
                <w:sz w:val="24"/>
                <w:szCs w:val="24"/>
                <w:highlight w:val="yellow"/>
              </w:rPr>
            </w:pPr>
          </w:p>
        </w:tc>
      </w:tr>
      <w:tr w:rsidR="00345F18" w:rsidRPr="007013DD" w:rsidTr="002345AE">
        <w:trPr>
          <w:trHeight w:val="411"/>
          <w:jc w:val="center"/>
        </w:trPr>
        <w:tc>
          <w:tcPr>
            <w:tcW w:w="4530" w:type="dxa"/>
            <w:vAlign w:val="center"/>
          </w:tcPr>
          <w:p w:rsidR="00345F18" w:rsidRPr="007013DD" w:rsidRDefault="00345F18" w:rsidP="00EC1A0A">
            <w:pPr>
              <w:spacing w:line="240" w:lineRule="auto"/>
              <w:rPr>
                <w:rFonts w:asciiTheme="majorHAnsi" w:hAnsiTheme="majorHAnsi" w:cstheme="majorHAnsi"/>
                <w:sz w:val="24"/>
                <w:szCs w:val="24"/>
              </w:rPr>
            </w:pPr>
            <w:r w:rsidRPr="007013DD">
              <w:rPr>
                <w:rFonts w:asciiTheme="majorHAnsi" w:hAnsiTheme="majorHAnsi" w:cstheme="majorHAnsi"/>
                <w:sz w:val="24"/>
                <w:szCs w:val="24"/>
              </w:rPr>
              <w:t>-Hệ số nợ/Tổng tài sản</w:t>
            </w:r>
          </w:p>
        </w:tc>
        <w:tc>
          <w:tcPr>
            <w:tcW w:w="1465" w:type="dxa"/>
            <w:vAlign w:val="center"/>
          </w:tcPr>
          <w:p w:rsidR="00345F18" w:rsidRPr="007013DD" w:rsidRDefault="00345F18" w:rsidP="00EC1A0A">
            <w:pPr>
              <w:spacing w:line="240" w:lineRule="auto"/>
              <w:jc w:val="right"/>
              <w:rPr>
                <w:rFonts w:asciiTheme="majorHAnsi" w:hAnsiTheme="majorHAnsi" w:cstheme="majorHAnsi"/>
                <w:sz w:val="24"/>
                <w:szCs w:val="24"/>
              </w:rPr>
            </w:pPr>
            <w:r w:rsidRPr="007013DD">
              <w:rPr>
                <w:rFonts w:asciiTheme="majorHAnsi" w:hAnsiTheme="majorHAnsi" w:cstheme="majorHAnsi"/>
                <w:sz w:val="24"/>
                <w:szCs w:val="24"/>
              </w:rPr>
              <w:t>0,62</w:t>
            </w:r>
          </w:p>
        </w:tc>
        <w:tc>
          <w:tcPr>
            <w:tcW w:w="1467" w:type="dxa"/>
            <w:vAlign w:val="center"/>
          </w:tcPr>
          <w:p w:rsidR="00345F18" w:rsidRPr="007013DD" w:rsidRDefault="00345F18" w:rsidP="00EC1A0A">
            <w:pPr>
              <w:spacing w:line="240" w:lineRule="auto"/>
              <w:jc w:val="right"/>
              <w:rPr>
                <w:rFonts w:asciiTheme="majorHAnsi" w:hAnsiTheme="majorHAnsi" w:cstheme="majorHAnsi"/>
                <w:sz w:val="24"/>
                <w:szCs w:val="24"/>
              </w:rPr>
            </w:pPr>
            <w:r w:rsidRPr="007013DD">
              <w:rPr>
                <w:rFonts w:asciiTheme="majorHAnsi" w:hAnsiTheme="majorHAnsi" w:cstheme="majorHAnsi"/>
                <w:sz w:val="24"/>
                <w:szCs w:val="24"/>
              </w:rPr>
              <w:t>0,63</w:t>
            </w:r>
          </w:p>
        </w:tc>
        <w:tc>
          <w:tcPr>
            <w:tcW w:w="1418" w:type="dxa"/>
            <w:vAlign w:val="center"/>
          </w:tcPr>
          <w:p w:rsidR="00345F18" w:rsidRPr="007013DD" w:rsidRDefault="00345F18" w:rsidP="00EC1A0A">
            <w:pPr>
              <w:spacing w:line="240" w:lineRule="auto"/>
              <w:jc w:val="right"/>
              <w:rPr>
                <w:rFonts w:asciiTheme="majorHAnsi" w:hAnsiTheme="majorHAnsi" w:cstheme="majorHAnsi"/>
                <w:sz w:val="24"/>
                <w:szCs w:val="24"/>
              </w:rPr>
            </w:pPr>
            <w:r w:rsidRPr="007013DD">
              <w:rPr>
                <w:rFonts w:asciiTheme="majorHAnsi" w:hAnsiTheme="majorHAnsi" w:cstheme="majorHAnsi"/>
                <w:sz w:val="24"/>
                <w:szCs w:val="24"/>
              </w:rPr>
              <w:t xml:space="preserve">               0,61 </w:t>
            </w:r>
          </w:p>
        </w:tc>
      </w:tr>
      <w:tr w:rsidR="00345F18" w:rsidRPr="007013DD" w:rsidTr="002345AE">
        <w:trPr>
          <w:trHeight w:val="411"/>
          <w:jc w:val="center"/>
        </w:trPr>
        <w:tc>
          <w:tcPr>
            <w:tcW w:w="4530" w:type="dxa"/>
            <w:vAlign w:val="center"/>
          </w:tcPr>
          <w:p w:rsidR="00345F18" w:rsidRPr="007013DD" w:rsidRDefault="00345F18" w:rsidP="00EC1A0A">
            <w:pPr>
              <w:spacing w:line="240" w:lineRule="auto"/>
              <w:rPr>
                <w:rFonts w:asciiTheme="majorHAnsi" w:hAnsiTheme="majorHAnsi" w:cstheme="majorHAnsi"/>
                <w:sz w:val="24"/>
                <w:szCs w:val="24"/>
              </w:rPr>
            </w:pPr>
            <w:r w:rsidRPr="007013DD">
              <w:rPr>
                <w:rFonts w:asciiTheme="majorHAnsi" w:hAnsiTheme="majorHAnsi" w:cstheme="majorHAnsi"/>
                <w:sz w:val="24"/>
                <w:szCs w:val="24"/>
              </w:rPr>
              <w:t> Hệ số nợ/Vốn chủ sở hữu</w:t>
            </w:r>
          </w:p>
        </w:tc>
        <w:tc>
          <w:tcPr>
            <w:tcW w:w="1465" w:type="dxa"/>
            <w:vAlign w:val="center"/>
          </w:tcPr>
          <w:p w:rsidR="00345F18" w:rsidRPr="007013DD" w:rsidRDefault="00345F18" w:rsidP="00EC1A0A">
            <w:pPr>
              <w:spacing w:line="240" w:lineRule="auto"/>
              <w:jc w:val="right"/>
              <w:rPr>
                <w:rFonts w:asciiTheme="majorHAnsi" w:hAnsiTheme="majorHAnsi" w:cstheme="majorHAnsi"/>
                <w:sz w:val="24"/>
                <w:szCs w:val="24"/>
              </w:rPr>
            </w:pPr>
            <w:r w:rsidRPr="007013DD">
              <w:rPr>
                <w:rFonts w:asciiTheme="majorHAnsi" w:hAnsiTheme="majorHAnsi" w:cstheme="majorHAnsi"/>
                <w:sz w:val="24"/>
                <w:szCs w:val="24"/>
              </w:rPr>
              <w:t>1,65</w:t>
            </w:r>
          </w:p>
        </w:tc>
        <w:tc>
          <w:tcPr>
            <w:tcW w:w="1467" w:type="dxa"/>
            <w:vAlign w:val="center"/>
          </w:tcPr>
          <w:p w:rsidR="00345F18" w:rsidRPr="007013DD" w:rsidRDefault="00345F18" w:rsidP="00EC1A0A">
            <w:pPr>
              <w:spacing w:line="240" w:lineRule="auto"/>
              <w:jc w:val="right"/>
              <w:rPr>
                <w:rFonts w:asciiTheme="majorHAnsi" w:hAnsiTheme="majorHAnsi" w:cstheme="majorHAnsi"/>
                <w:sz w:val="24"/>
                <w:szCs w:val="24"/>
              </w:rPr>
            </w:pPr>
            <w:r w:rsidRPr="007013DD">
              <w:rPr>
                <w:rFonts w:asciiTheme="majorHAnsi" w:hAnsiTheme="majorHAnsi" w:cstheme="majorHAnsi"/>
                <w:sz w:val="24"/>
                <w:szCs w:val="24"/>
              </w:rPr>
              <w:t>1,68</w:t>
            </w:r>
          </w:p>
        </w:tc>
        <w:tc>
          <w:tcPr>
            <w:tcW w:w="1418" w:type="dxa"/>
            <w:vAlign w:val="center"/>
          </w:tcPr>
          <w:p w:rsidR="00345F18" w:rsidRPr="007013DD" w:rsidRDefault="00345F18" w:rsidP="00EC1A0A">
            <w:pPr>
              <w:spacing w:line="240" w:lineRule="auto"/>
              <w:jc w:val="right"/>
              <w:rPr>
                <w:rFonts w:asciiTheme="majorHAnsi" w:hAnsiTheme="majorHAnsi" w:cstheme="majorHAnsi"/>
                <w:sz w:val="24"/>
                <w:szCs w:val="24"/>
              </w:rPr>
            </w:pPr>
            <w:r w:rsidRPr="007013DD">
              <w:rPr>
                <w:rFonts w:asciiTheme="majorHAnsi" w:hAnsiTheme="majorHAnsi" w:cstheme="majorHAnsi"/>
                <w:sz w:val="24"/>
                <w:szCs w:val="24"/>
              </w:rPr>
              <w:t xml:space="preserve">               1,59</w:t>
            </w:r>
          </w:p>
        </w:tc>
      </w:tr>
      <w:tr w:rsidR="00345F18" w:rsidRPr="007013DD" w:rsidTr="002345AE">
        <w:trPr>
          <w:trHeight w:val="411"/>
          <w:jc w:val="center"/>
        </w:trPr>
        <w:tc>
          <w:tcPr>
            <w:tcW w:w="4530" w:type="dxa"/>
            <w:shd w:val="clear" w:color="auto" w:fill="DBE5F1"/>
            <w:vAlign w:val="center"/>
          </w:tcPr>
          <w:p w:rsidR="00345F18" w:rsidRPr="007013DD" w:rsidRDefault="00345F18" w:rsidP="00EC1A0A">
            <w:pPr>
              <w:spacing w:line="240" w:lineRule="auto"/>
              <w:rPr>
                <w:rFonts w:asciiTheme="majorHAnsi" w:hAnsiTheme="majorHAnsi" w:cstheme="majorHAnsi"/>
                <w:b/>
                <w:bCs/>
                <w:sz w:val="24"/>
                <w:szCs w:val="24"/>
              </w:rPr>
            </w:pPr>
            <w:r w:rsidRPr="007013DD">
              <w:rPr>
                <w:rFonts w:asciiTheme="majorHAnsi" w:hAnsiTheme="majorHAnsi" w:cstheme="majorHAnsi"/>
                <w:b/>
                <w:bCs/>
                <w:sz w:val="24"/>
                <w:szCs w:val="24"/>
              </w:rPr>
              <w:t>3. Chỉ tiêu về năng lực hoạt động (lần)</w:t>
            </w:r>
          </w:p>
        </w:tc>
        <w:tc>
          <w:tcPr>
            <w:tcW w:w="1465" w:type="dxa"/>
            <w:shd w:val="clear" w:color="auto" w:fill="DBE5F1"/>
            <w:vAlign w:val="center"/>
          </w:tcPr>
          <w:p w:rsidR="00345F18" w:rsidRPr="007013DD" w:rsidRDefault="00345F18" w:rsidP="00EC1A0A">
            <w:pPr>
              <w:spacing w:line="240" w:lineRule="auto"/>
              <w:jc w:val="right"/>
              <w:rPr>
                <w:rFonts w:asciiTheme="majorHAnsi" w:hAnsiTheme="majorHAnsi" w:cstheme="majorHAnsi"/>
                <w:sz w:val="24"/>
                <w:szCs w:val="24"/>
              </w:rPr>
            </w:pPr>
          </w:p>
        </w:tc>
        <w:tc>
          <w:tcPr>
            <w:tcW w:w="1467" w:type="dxa"/>
            <w:shd w:val="clear" w:color="auto" w:fill="DBE5F1"/>
            <w:vAlign w:val="center"/>
          </w:tcPr>
          <w:p w:rsidR="00345F18" w:rsidRPr="007013DD" w:rsidRDefault="00345F18" w:rsidP="00EC1A0A">
            <w:pPr>
              <w:spacing w:line="240" w:lineRule="auto"/>
              <w:jc w:val="right"/>
              <w:rPr>
                <w:rFonts w:asciiTheme="majorHAnsi" w:hAnsiTheme="majorHAnsi" w:cstheme="majorHAnsi"/>
                <w:sz w:val="24"/>
                <w:szCs w:val="24"/>
              </w:rPr>
            </w:pPr>
          </w:p>
        </w:tc>
        <w:tc>
          <w:tcPr>
            <w:tcW w:w="1418" w:type="dxa"/>
            <w:shd w:val="clear" w:color="auto" w:fill="DBE5F1"/>
            <w:vAlign w:val="center"/>
          </w:tcPr>
          <w:p w:rsidR="00345F18" w:rsidRPr="007013DD" w:rsidRDefault="00345F18" w:rsidP="00EC1A0A">
            <w:pPr>
              <w:spacing w:line="240" w:lineRule="auto"/>
              <w:jc w:val="right"/>
              <w:rPr>
                <w:rFonts w:asciiTheme="majorHAnsi" w:hAnsiTheme="majorHAnsi" w:cstheme="majorHAnsi"/>
                <w:sz w:val="24"/>
                <w:szCs w:val="24"/>
                <w:highlight w:val="yellow"/>
              </w:rPr>
            </w:pPr>
          </w:p>
        </w:tc>
      </w:tr>
      <w:tr w:rsidR="00345F18" w:rsidRPr="007013DD" w:rsidTr="002345AE">
        <w:trPr>
          <w:trHeight w:val="411"/>
          <w:jc w:val="center"/>
        </w:trPr>
        <w:tc>
          <w:tcPr>
            <w:tcW w:w="4530" w:type="dxa"/>
            <w:vAlign w:val="center"/>
          </w:tcPr>
          <w:p w:rsidR="00345F18" w:rsidRPr="007013DD" w:rsidRDefault="00345F18" w:rsidP="00EC1A0A">
            <w:pPr>
              <w:spacing w:line="240" w:lineRule="auto"/>
              <w:rPr>
                <w:rFonts w:asciiTheme="majorHAnsi" w:hAnsiTheme="majorHAnsi" w:cstheme="majorHAnsi"/>
                <w:sz w:val="24"/>
                <w:szCs w:val="24"/>
              </w:rPr>
            </w:pPr>
            <w:r w:rsidRPr="007013DD">
              <w:rPr>
                <w:rFonts w:asciiTheme="majorHAnsi" w:hAnsiTheme="majorHAnsi" w:cstheme="majorHAnsi"/>
                <w:sz w:val="24"/>
                <w:szCs w:val="24"/>
              </w:rPr>
              <w:t>Vòng quay hàng tồn kho</w:t>
            </w:r>
          </w:p>
        </w:tc>
        <w:tc>
          <w:tcPr>
            <w:tcW w:w="1465" w:type="dxa"/>
            <w:vAlign w:val="center"/>
          </w:tcPr>
          <w:p w:rsidR="00345F18" w:rsidRPr="007013DD" w:rsidRDefault="00345F18" w:rsidP="00EC1A0A">
            <w:pPr>
              <w:spacing w:line="240" w:lineRule="auto"/>
              <w:jc w:val="right"/>
              <w:rPr>
                <w:rFonts w:asciiTheme="majorHAnsi" w:hAnsiTheme="majorHAnsi" w:cstheme="majorHAnsi"/>
                <w:sz w:val="24"/>
                <w:szCs w:val="24"/>
              </w:rPr>
            </w:pPr>
            <w:r w:rsidRPr="007013DD">
              <w:rPr>
                <w:rFonts w:asciiTheme="majorHAnsi" w:hAnsiTheme="majorHAnsi" w:cstheme="majorHAnsi"/>
                <w:sz w:val="24"/>
                <w:szCs w:val="24"/>
              </w:rPr>
              <w:t>0,69</w:t>
            </w:r>
          </w:p>
        </w:tc>
        <w:tc>
          <w:tcPr>
            <w:tcW w:w="1467" w:type="dxa"/>
            <w:vAlign w:val="center"/>
          </w:tcPr>
          <w:p w:rsidR="00345F18" w:rsidRPr="007013DD" w:rsidRDefault="00345F18" w:rsidP="00EC1A0A">
            <w:pPr>
              <w:spacing w:line="240" w:lineRule="auto"/>
              <w:jc w:val="right"/>
              <w:rPr>
                <w:rFonts w:asciiTheme="majorHAnsi" w:hAnsiTheme="majorHAnsi" w:cstheme="majorHAnsi"/>
                <w:sz w:val="24"/>
                <w:szCs w:val="24"/>
              </w:rPr>
            </w:pPr>
            <w:r w:rsidRPr="007013DD">
              <w:rPr>
                <w:rFonts w:asciiTheme="majorHAnsi" w:hAnsiTheme="majorHAnsi" w:cstheme="majorHAnsi"/>
                <w:sz w:val="24"/>
                <w:szCs w:val="24"/>
              </w:rPr>
              <w:t>1,08</w:t>
            </w:r>
          </w:p>
        </w:tc>
        <w:tc>
          <w:tcPr>
            <w:tcW w:w="1418" w:type="dxa"/>
            <w:vAlign w:val="center"/>
          </w:tcPr>
          <w:p w:rsidR="00345F18" w:rsidRPr="007013DD" w:rsidRDefault="00345F18" w:rsidP="00EC1A0A">
            <w:pPr>
              <w:spacing w:line="240" w:lineRule="auto"/>
              <w:jc w:val="right"/>
              <w:rPr>
                <w:rFonts w:asciiTheme="majorHAnsi" w:hAnsiTheme="majorHAnsi" w:cstheme="majorHAnsi"/>
                <w:sz w:val="24"/>
                <w:szCs w:val="24"/>
                <w:highlight w:val="yellow"/>
              </w:rPr>
            </w:pPr>
            <w:r w:rsidRPr="007013DD">
              <w:rPr>
                <w:rFonts w:asciiTheme="majorHAnsi" w:hAnsiTheme="majorHAnsi" w:cstheme="majorHAnsi"/>
                <w:sz w:val="24"/>
                <w:szCs w:val="24"/>
              </w:rPr>
              <w:t>2,87</w:t>
            </w:r>
          </w:p>
        </w:tc>
      </w:tr>
      <w:tr w:rsidR="00345F18" w:rsidRPr="007013DD" w:rsidTr="002345AE">
        <w:trPr>
          <w:trHeight w:val="411"/>
          <w:jc w:val="center"/>
        </w:trPr>
        <w:tc>
          <w:tcPr>
            <w:tcW w:w="4530" w:type="dxa"/>
            <w:vAlign w:val="center"/>
          </w:tcPr>
          <w:p w:rsidR="00345F18" w:rsidRPr="007013DD" w:rsidRDefault="00345F18" w:rsidP="00EC1A0A">
            <w:pPr>
              <w:spacing w:line="240" w:lineRule="auto"/>
              <w:rPr>
                <w:rFonts w:asciiTheme="majorHAnsi" w:hAnsiTheme="majorHAnsi" w:cstheme="majorHAnsi"/>
                <w:sz w:val="24"/>
                <w:szCs w:val="24"/>
              </w:rPr>
            </w:pPr>
            <w:r w:rsidRPr="007013DD">
              <w:rPr>
                <w:rFonts w:asciiTheme="majorHAnsi" w:hAnsiTheme="majorHAnsi" w:cstheme="majorHAnsi"/>
                <w:sz w:val="24"/>
                <w:szCs w:val="24"/>
              </w:rPr>
              <w:t> Vòng quay tổng tài sản</w:t>
            </w:r>
          </w:p>
        </w:tc>
        <w:tc>
          <w:tcPr>
            <w:tcW w:w="1465" w:type="dxa"/>
            <w:vAlign w:val="center"/>
          </w:tcPr>
          <w:p w:rsidR="00345F18" w:rsidRPr="007013DD" w:rsidRDefault="00345F18" w:rsidP="00EC1A0A">
            <w:pPr>
              <w:spacing w:line="240" w:lineRule="auto"/>
              <w:jc w:val="right"/>
              <w:rPr>
                <w:rFonts w:asciiTheme="majorHAnsi" w:hAnsiTheme="majorHAnsi" w:cstheme="majorHAnsi"/>
                <w:sz w:val="24"/>
                <w:szCs w:val="24"/>
              </w:rPr>
            </w:pPr>
            <w:r w:rsidRPr="007013DD">
              <w:rPr>
                <w:rFonts w:asciiTheme="majorHAnsi" w:hAnsiTheme="majorHAnsi" w:cstheme="majorHAnsi"/>
                <w:sz w:val="24"/>
                <w:szCs w:val="24"/>
              </w:rPr>
              <w:t>0,49</w:t>
            </w:r>
          </w:p>
        </w:tc>
        <w:tc>
          <w:tcPr>
            <w:tcW w:w="1467" w:type="dxa"/>
            <w:vAlign w:val="center"/>
          </w:tcPr>
          <w:p w:rsidR="00345F18" w:rsidRPr="007013DD" w:rsidRDefault="00345F18" w:rsidP="00EC1A0A">
            <w:pPr>
              <w:spacing w:line="240" w:lineRule="auto"/>
              <w:jc w:val="right"/>
              <w:rPr>
                <w:rFonts w:asciiTheme="majorHAnsi" w:hAnsiTheme="majorHAnsi" w:cstheme="majorHAnsi"/>
                <w:sz w:val="24"/>
                <w:szCs w:val="24"/>
              </w:rPr>
            </w:pPr>
            <w:r w:rsidRPr="007013DD">
              <w:rPr>
                <w:rFonts w:asciiTheme="majorHAnsi" w:hAnsiTheme="majorHAnsi" w:cstheme="majorHAnsi"/>
                <w:sz w:val="24"/>
                <w:szCs w:val="24"/>
              </w:rPr>
              <w:t>0,69</w:t>
            </w:r>
          </w:p>
        </w:tc>
        <w:tc>
          <w:tcPr>
            <w:tcW w:w="1418" w:type="dxa"/>
            <w:vAlign w:val="center"/>
          </w:tcPr>
          <w:p w:rsidR="00345F18" w:rsidRPr="007013DD" w:rsidRDefault="00345F18" w:rsidP="00EC1A0A">
            <w:pPr>
              <w:spacing w:line="240" w:lineRule="auto"/>
              <w:jc w:val="right"/>
              <w:rPr>
                <w:rFonts w:asciiTheme="majorHAnsi" w:hAnsiTheme="majorHAnsi" w:cstheme="majorHAnsi"/>
                <w:sz w:val="24"/>
                <w:szCs w:val="24"/>
                <w:highlight w:val="yellow"/>
              </w:rPr>
            </w:pPr>
            <w:r w:rsidRPr="007013DD">
              <w:rPr>
                <w:rFonts w:asciiTheme="majorHAnsi" w:hAnsiTheme="majorHAnsi" w:cstheme="majorHAnsi"/>
                <w:sz w:val="24"/>
                <w:szCs w:val="24"/>
              </w:rPr>
              <w:t>0,82</w:t>
            </w:r>
          </w:p>
        </w:tc>
      </w:tr>
      <w:tr w:rsidR="00345F18" w:rsidRPr="007013DD" w:rsidTr="002345AE">
        <w:trPr>
          <w:trHeight w:val="411"/>
          <w:jc w:val="center"/>
        </w:trPr>
        <w:tc>
          <w:tcPr>
            <w:tcW w:w="4530" w:type="dxa"/>
            <w:shd w:val="clear" w:color="auto" w:fill="DBE5F1"/>
            <w:vAlign w:val="center"/>
          </w:tcPr>
          <w:p w:rsidR="00345F18" w:rsidRPr="007013DD" w:rsidRDefault="00345F18" w:rsidP="00EC1A0A">
            <w:pPr>
              <w:spacing w:line="240" w:lineRule="auto"/>
              <w:rPr>
                <w:rFonts w:asciiTheme="majorHAnsi" w:hAnsiTheme="majorHAnsi" w:cstheme="majorHAnsi"/>
                <w:b/>
                <w:bCs/>
                <w:sz w:val="24"/>
                <w:szCs w:val="24"/>
              </w:rPr>
            </w:pPr>
            <w:r w:rsidRPr="007013DD">
              <w:rPr>
                <w:rFonts w:asciiTheme="majorHAnsi" w:hAnsiTheme="majorHAnsi" w:cstheme="majorHAnsi"/>
                <w:b/>
                <w:bCs/>
                <w:sz w:val="24"/>
                <w:szCs w:val="24"/>
              </w:rPr>
              <w:t>4. Chỉ tiêu về khả năng sinh lời (%)</w:t>
            </w:r>
          </w:p>
        </w:tc>
        <w:tc>
          <w:tcPr>
            <w:tcW w:w="1465" w:type="dxa"/>
            <w:shd w:val="clear" w:color="auto" w:fill="DBE5F1"/>
            <w:vAlign w:val="center"/>
          </w:tcPr>
          <w:p w:rsidR="00345F18" w:rsidRPr="007013DD" w:rsidRDefault="00345F18" w:rsidP="00EC1A0A">
            <w:pPr>
              <w:spacing w:line="240" w:lineRule="auto"/>
              <w:jc w:val="right"/>
              <w:rPr>
                <w:rFonts w:asciiTheme="majorHAnsi" w:hAnsiTheme="majorHAnsi" w:cstheme="majorHAnsi"/>
                <w:sz w:val="24"/>
                <w:szCs w:val="24"/>
              </w:rPr>
            </w:pPr>
          </w:p>
        </w:tc>
        <w:tc>
          <w:tcPr>
            <w:tcW w:w="1467" w:type="dxa"/>
            <w:shd w:val="clear" w:color="auto" w:fill="DBE5F1"/>
            <w:vAlign w:val="center"/>
          </w:tcPr>
          <w:p w:rsidR="00345F18" w:rsidRPr="007013DD" w:rsidRDefault="00345F18" w:rsidP="00EC1A0A">
            <w:pPr>
              <w:spacing w:line="240" w:lineRule="auto"/>
              <w:jc w:val="right"/>
              <w:rPr>
                <w:rFonts w:asciiTheme="majorHAnsi" w:hAnsiTheme="majorHAnsi" w:cstheme="majorHAnsi"/>
                <w:sz w:val="24"/>
                <w:szCs w:val="24"/>
              </w:rPr>
            </w:pPr>
          </w:p>
        </w:tc>
        <w:tc>
          <w:tcPr>
            <w:tcW w:w="1418" w:type="dxa"/>
            <w:shd w:val="clear" w:color="auto" w:fill="DBE5F1"/>
            <w:vAlign w:val="center"/>
          </w:tcPr>
          <w:p w:rsidR="00345F18" w:rsidRPr="007013DD" w:rsidRDefault="00345F18" w:rsidP="00EC1A0A">
            <w:pPr>
              <w:spacing w:line="240" w:lineRule="auto"/>
              <w:jc w:val="right"/>
              <w:rPr>
                <w:rFonts w:asciiTheme="majorHAnsi" w:hAnsiTheme="majorHAnsi" w:cstheme="majorHAnsi"/>
                <w:sz w:val="24"/>
                <w:szCs w:val="24"/>
                <w:highlight w:val="yellow"/>
              </w:rPr>
            </w:pPr>
          </w:p>
        </w:tc>
      </w:tr>
      <w:tr w:rsidR="00345F18" w:rsidRPr="007013DD" w:rsidTr="002345AE">
        <w:trPr>
          <w:trHeight w:val="411"/>
          <w:jc w:val="center"/>
        </w:trPr>
        <w:tc>
          <w:tcPr>
            <w:tcW w:w="4530" w:type="dxa"/>
            <w:vAlign w:val="center"/>
          </w:tcPr>
          <w:p w:rsidR="00345F18" w:rsidRPr="007013DD" w:rsidRDefault="00345F18" w:rsidP="00EC1A0A">
            <w:pPr>
              <w:spacing w:line="240" w:lineRule="auto"/>
              <w:rPr>
                <w:rFonts w:asciiTheme="majorHAnsi" w:hAnsiTheme="majorHAnsi" w:cstheme="majorHAnsi"/>
                <w:sz w:val="24"/>
                <w:szCs w:val="24"/>
              </w:rPr>
            </w:pPr>
            <w:r w:rsidRPr="007013DD">
              <w:rPr>
                <w:rFonts w:asciiTheme="majorHAnsi" w:hAnsiTheme="majorHAnsi" w:cstheme="majorHAnsi"/>
                <w:sz w:val="24"/>
                <w:szCs w:val="24"/>
              </w:rPr>
              <w:t xml:space="preserve"> Lợi nhuận sau thuế/Doanh thu thuần</w:t>
            </w:r>
          </w:p>
        </w:tc>
        <w:tc>
          <w:tcPr>
            <w:tcW w:w="1465" w:type="dxa"/>
            <w:vAlign w:val="center"/>
          </w:tcPr>
          <w:p w:rsidR="00345F18" w:rsidRPr="007013DD" w:rsidRDefault="00345F18" w:rsidP="00EC1A0A">
            <w:pPr>
              <w:spacing w:line="240" w:lineRule="auto"/>
              <w:jc w:val="right"/>
              <w:rPr>
                <w:rFonts w:asciiTheme="majorHAnsi" w:hAnsiTheme="majorHAnsi" w:cstheme="majorHAnsi"/>
                <w:sz w:val="24"/>
                <w:szCs w:val="24"/>
              </w:rPr>
            </w:pPr>
            <w:r w:rsidRPr="007013DD">
              <w:rPr>
                <w:rFonts w:asciiTheme="majorHAnsi" w:hAnsiTheme="majorHAnsi" w:cstheme="majorHAnsi"/>
                <w:sz w:val="24"/>
                <w:szCs w:val="24"/>
              </w:rPr>
              <w:t>5,73%</w:t>
            </w:r>
          </w:p>
        </w:tc>
        <w:tc>
          <w:tcPr>
            <w:tcW w:w="1467" w:type="dxa"/>
            <w:vAlign w:val="center"/>
          </w:tcPr>
          <w:p w:rsidR="00345F18" w:rsidRPr="007013DD" w:rsidRDefault="00345F18" w:rsidP="00EC1A0A">
            <w:pPr>
              <w:spacing w:line="240" w:lineRule="auto"/>
              <w:jc w:val="right"/>
              <w:rPr>
                <w:rFonts w:asciiTheme="majorHAnsi" w:hAnsiTheme="majorHAnsi" w:cstheme="majorHAnsi"/>
                <w:sz w:val="24"/>
                <w:szCs w:val="24"/>
              </w:rPr>
            </w:pPr>
            <w:r w:rsidRPr="007013DD">
              <w:rPr>
                <w:rFonts w:asciiTheme="majorHAnsi" w:hAnsiTheme="majorHAnsi" w:cstheme="majorHAnsi"/>
                <w:sz w:val="24"/>
                <w:szCs w:val="24"/>
              </w:rPr>
              <w:t>12,63%</w:t>
            </w:r>
          </w:p>
        </w:tc>
        <w:tc>
          <w:tcPr>
            <w:tcW w:w="1418" w:type="dxa"/>
            <w:vAlign w:val="center"/>
          </w:tcPr>
          <w:p w:rsidR="00345F18" w:rsidRPr="007013DD" w:rsidRDefault="00345F18" w:rsidP="00EC1A0A">
            <w:pPr>
              <w:spacing w:line="240" w:lineRule="auto"/>
              <w:jc w:val="right"/>
              <w:rPr>
                <w:rFonts w:asciiTheme="majorHAnsi" w:hAnsiTheme="majorHAnsi" w:cstheme="majorHAnsi"/>
                <w:sz w:val="24"/>
                <w:szCs w:val="24"/>
              </w:rPr>
            </w:pPr>
            <w:r w:rsidRPr="007013DD">
              <w:rPr>
                <w:rFonts w:asciiTheme="majorHAnsi" w:hAnsiTheme="majorHAnsi" w:cstheme="majorHAnsi"/>
                <w:sz w:val="24"/>
                <w:szCs w:val="24"/>
              </w:rPr>
              <w:t>9,92%</w:t>
            </w:r>
          </w:p>
        </w:tc>
      </w:tr>
      <w:tr w:rsidR="00345F18" w:rsidRPr="007013DD" w:rsidTr="002345AE">
        <w:trPr>
          <w:trHeight w:val="411"/>
          <w:jc w:val="center"/>
        </w:trPr>
        <w:tc>
          <w:tcPr>
            <w:tcW w:w="4530" w:type="dxa"/>
            <w:vAlign w:val="center"/>
          </w:tcPr>
          <w:p w:rsidR="00345F18" w:rsidRPr="007013DD" w:rsidRDefault="00345F18" w:rsidP="00EC1A0A">
            <w:pPr>
              <w:spacing w:line="240" w:lineRule="auto"/>
              <w:rPr>
                <w:rFonts w:asciiTheme="majorHAnsi" w:hAnsiTheme="majorHAnsi" w:cstheme="majorHAnsi"/>
                <w:sz w:val="24"/>
                <w:szCs w:val="24"/>
              </w:rPr>
            </w:pPr>
            <w:r w:rsidRPr="007013DD">
              <w:rPr>
                <w:rFonts w:asciiTheme="majorHAnsi" w:hAnsiTheme="majorHAnsi" w:cstheme="majorHAnsi"/>
                <w:sz w:val="24"/>
                <w:szCs w:val="24"/>
              </w:rPr>
              <w:t>Lợi nhuận sau thuế/Vốn chủ sở hữu bình quân</w:t>
            </w:r>
          </w:p>
        </w:tc>
        <w:tc>
          <w:tcPr>
            <w:tcW w:w="1465" w:type="dxa"/>
            <w:vAlign w:val="center"/>
          </w:tcPr>
          <w:p w:rsidR="00345F18" w:rsidRPr="007013DD" w:rsidRDefault="00345F18" w:rsidP="00EC1A0A">
            <w:pPr>
              <w:spacing w:line="240" w:lineRule="auto"/>
              <w:jc w:val="right"/>
              <w:rPr>
                <w:rFonts w:asciiTheme="majorHAnsi" w:hAnsiTheme="majorHAnsi" w:cstheme="majorHAnsi"/>
                <w:sz w:val="24"/>
                <w:szCs w:val="24"/>
              </w:rPr>
            </w:pPr>
            <w:r w:rsidRPr="007013DD">
              <w:rPr>
                <w:rFonts w:asciiTheme="majorHAnsi" w:hAnsiTheme="majorHAnsi" w:cstheme="majorHAnsi"/>
                <w:sz w:val="24"/>
                <w:szCs w:val="24"/>
              </w:rPr>
              <w:t>7,36%</w:t>
            </w:r>
          </w:p>
        </w:tc>
        <w:tc>
          <w:tcPr>
            <w:tcW w:w="1467" w:type="dxa"/>
            <w:vAlign w:val="center"/>
          </w:tcPr>
          <w:p w:rsidR="00345F18" w:rsidRPr="007013DD" w:rsidRDefault="00345F18" w:rsidP="00EC1A0A">
            <w:pPr>
              <w:spacing w:line="240" w:lineRule="auto"/>
              <w:jc w:val="right"/>
              <w:rPr>
                <w:rFonts w:asciiTheme="majorHAnsi" w:hAnsiTheme="majorHAnsi" w:cstheme="majorHAnsi"/>
                <w:sz w:val="24"/>
                <w:szCs w:val="24"/>
              </w:rPr>
            </w:pPr>
            <w:r w:rsidRPr="007013DD">
              <w:rPr>
                <w:rFonts w:asciiTheme="majorHAnsi" w:hAnsiTheme="majorHAnsi" w:cstheme="majorHAnsi"/>
                <w:sz w:val="24"/>
                <w:szCs w:val="24"/>
              </w:rPr>
              <w:t>23,21%</w:t>
            </w:r>
          </w:p>
        </w:tc>
        <w:tc>
          <w:tcPr>
            <w:tcW w:w="1418" w:type="dxa"/>
            <w:vAlign w:val="center"/>
          </w:tcPr>
          <w:p w:rsidR="00345F18" w:rsidRPr="007013DD" w:rsidRDefault="00345F18" w:rsidP="00EC1A0A">
            <w:pPr>
              <w:spacing w:line="240" w:lineRule="auto"/>
              <w:jc w:val="right"/>
              <w:rPr>
                <w:rFonts w:asciiTheme="majorHAnsi" w:hAnsiTheme="majorHAnsi" w:cstheme="majorHAnsi"/>
                <w:sz w:val="24"/>
                <w:szCs w:val="24"/>
              </w:rPr>
            </w:pPr>
            <w:r w:rsidRPr="007013DD">
              <w:rPr>
                <w:rFonts w:asciiTheme="majorHAnsi" w:hAnsiTheme="majorHAnsi" w:cstheme="majorHAnsi"/>
                <w:sz w:val="24"/>
                <w:szCs w:val="24"/>
              </w:rPr>
              <w:t>20,99%</w:t>
            </w:r>
          </w:p>
        </w:tc>
      </w:tr>
      <w:tr w:rsidR="00345F18" w:rsidRPr="007013DD" w:rsidTr="002345AE">
        <w:trPr>
          <w:trHeight w:val="418"/>
          <w:jc w:val="center"/>
        </w:trPr>
        <w:tc>
          <w:tcPr>
            <w:tcW w:w="4530" w:type="dxa"/>
            <w:vAlign w:val="center"/>
          </w:tcPr>
          <w:p w:rsidR="00345F18" w:rsidRPr="007013DD" w:rsidRDefault="00345F18" w:rsidP="00EC1A0A">
            <w:pPr>
              <w:spacing w:line="240" w:lineRule="auto"/>
              <w:rPr>
                <w:rFonts w:asciiTheme="majorHAnsi" w:hAnsiTheme="majorHAnsi" w:cstheme="majorHAnsi"/>
                <w:sz w:val="24"/>
                <w:szCs w:val="24"/>
              </w:rPr>
            </w:pPr>
            <w:r w:rsidRPr="007013DD">
              <w:rPr>
                <w:rFonts w:asciiTheme="majorHAnsi" w:hAnsiTheme="majorHAnsi" w:cstheme="majorHAnsi"/>
                <w:sz w:val="24"/>
                <w:szCs w:val="24"/>
              </w:rPr>
              <w:t>Lợi nhuận sau thuế/Tổng tài sản bình quân</w:t>
            </w:r>
          </w:p>
        </w:tc>
        <w:tc>
          <w:tcPr>
            <w:tcW w:w="1465" w:type="dxa"/>
            <w:vAlign w:val="center"/>
          </w:tcPr>
          <w:p w:rsidR="00345F18" w:rsidRPr="007013DD" w:rsidRDefault="00345F18" w:rsidP="00EC1A0A">
            <w:pPr>
              <w:spacing w:line="240" w:lineRule="auto"/>
              <w:jc w:val="right"/>
              <w:rPr>
                <w:rFonts w:asciiTheme="majorHAnsi" w:hAnsiTheme="majorHAnsi" w:cstheme="majorHAnsi"/>
                <w:sz w:val="24"/>
                <w:szCs w:val="24"/>
              </w:rPr>
            </w:pPr>
            <w:r w:rsidRPr="007013DD">
              <w:rPr>
                <w:rFonts w:asciiTheme="majorHAnsi" w:hAnsiTheme="majorHAnsi" w:cstheme="majorHAnsi"/>
                <w:sz w:val="24"/>
                <w:szCs w:val="24"/>
              </w:rPr>
              <w:t>2,83%</w:t>
            </w:r>
          </w:p>
        </w:tc>
        <w:tc>
          <w:tcPr>
            <w:tcW w:w="1467" w:type="dxa"/>
            <w:vAlign w:val="center"/>
          </w:tcPr>
          <w:p w:rsidR="00345F18" w:rsidRPr="007013DD" w:rsidRDefault="00345F18" w:rsidP="00EC1A0A">
            <w:pPr>
              <w:spacing w:line="240" w:lineRule="auto"/>
              <w:jc w:val="right"/>
              <w:rPr>
                <w:rFonts w:asciiTheme="majorHAnsi" w:hAnsiTheme="majorHAnsi" w:cstheme="majorHAnsi"/>
                <w:sz w:val="24"/>
                <w:szCs w:val="24"/>
              </w:rPr>
            </w:pPr>
            <w:r w:rsidRPr="007013DD">
              <w:rPr>
                <w:rFonts w:asciiTheme="majorHAnsi" w:hAnsiTheme="majorHAnsi" w:cstheme="majorHAnsi"/>
                <w:sz w:val="24"/>
                <w:szCs w:val="24"/>
              </w:rPr>
              <w:t>8,71%</w:t>
            </w:r>
          </w:p>
        </w:tc>
        <w:tc>
          <w:tcPr>
            <w:tcW w:w="1418" w:type="dxa"/>
            <w:vAlign w:val="center"/>
          </w:tcPr>
          <w:p w:rsidR="00345F18" w:rsidRPr="007013DD" w:rsidRDefault="00345F18" w:rsidP="00EC1A0A">
            <w:pPr>
              <w:spacing w:line="240" w:lineRule="auto"/>
              <w:jc w:val="right"/>
              <w:rPr>
                <w:rFonts w:asciiTheme="majorHAnsi" w:hAnsiTheme="majorHAnsi" w:cstheme="majorHAnsi"/>
                <w:sz w:val="24"/>
                <w:szCs w:val="24"/>
              </w:rPr>
            </w:pPr>
            <w:r w:rsidRPr="007013DD">
              <w:rPr>
                <w:rFonts w:asciiTheme="majorHAnsi" w:hAnsiTheme="majorHAnsi" w:cstheme="majorHAnsi"/>
                <w:sz w:val="24"/>
                <w:szCs w:val="24"/>
              </w:rPr>
              <w:t>8,09%</w:t>
            </w:r>
          </w:p>
        </w:tc>
      </w:tr>
      <w:tr w:rsidR="00345F18" w:rsidRPr="007013DD" w:rsidTr="002345AE">
        <w:trPr>
          <w:trHeight w:val="681"/>
          <w:jc w:val="center"/>
        </w:trPr>
        <w:tc>
          <w:tcPr>
            <w:tcW w:w="4530" w:type="dxa"/>
            <w:vAlign w:val="center"/>
          </w:tcPr>
          <w:p w:rsidR="00345F18" w:rsidRPr="007013DD" w:rsidRDefault="00345F18" w:rsidP="00EC1A0A">
            <w:pPr>
              <w:spacing w:line="240" w:lineRule="auto"/>
              <w:rPr>
                <w:rFonts w:asciiTheme="majorHAnsi" w:hAnsiTheme="majorHAnsi" w:cstheme="majorHAnsi"/>
                <w:sz w:val="24"/>
                <w:szCs w:val="24"/>
              </w:rPr>
            </w:pPr>
            <w:r w:rsidRPr="007013DD">
              <w:rPr>
                <w:rFonts w:asciiTheme="majorHAnsi" w:hAnsiTheme="majorHAnsi" w:cstheme="majorHAnsi"/>
                <w:sz w:val="24"/>
                <w:szCs w:val="24"/>
              </w:rPr>
              <w:t>Lợi nhuận từ hoạt động kinh doanh/Doanh thu thuần</w:t>
            </w:r>
          </w:p>
        </w:tc>
        <w:tc>
          <w:tcPr>
            <w:tcW w:w="1465" w:type="dxa"/>
            <w:vAlign w:val="center"/>
          </w:tcPr>
          <w:p w:rsidR="00345F18" w:rsidRPr="007013DD" w:rsidRDefault="00345F18" w:rsidP="00EC1A0A">
            <w:pPr>
              <w:spacing w:line="240" w:lineRule="auto"/>
              <w:jc w:val="right"/>
              <w:rPr>
                <w:rFonts w:asciiTheme="majorHAnsi" w:hAnsiTheme="majorHAnsi" w:cstheme="majorHAnsi"/>
                <w:sz w:val="24"/>
                <w:szCs w:val="24"/>
              </w:rPr>
            </w:pPr>
            <w:r w:rsidRPr="007013DD">
              <w:rPr>
                <w:rFonts w:asciiTheme="majorHAnsi" w:hAnsiTheme="majorHAnsi" w:cstheme="majorHAnsi"/>
                <w:sz w:val="24"/>
                <w:szCs w:val="24"/>
              </w:rPr>
              <w:t>8,72%</w:t>
            </w:r>
          </w:p>
        </w:tc>
        <w:tc>
          <w:tcPr>
            <w:tcW w:w="1467" w:type="dxa"/>
            <w:vAlign w:val="center"/>
          </w:tcPr>
          <w:p w:rsidR="00345F18" w:rsidRPr="007013DD" w:rsidRDefault="00345F18" w:rsidP="00EC1A0A">
            <w:pPr>
              <w:spacing w:line="240" w:lineRule="auto"/>
              <w:jc w:val="center"/>
              <w:rPr>
                <w:rFonts w:asciiTheme="majorHAnsi" w:hAnsiTheme="majorHAnsi" w:cstheme="majorHAnsi"/>
                <w:sz w:val="24"/>
                <w:szCs w:val="24"/>
              </w:rPr>
            </w:pPr>
            <w:r w:rsidRPr="007013DD">
              <w:rPr>
                <w:rFonts w:asciiTheme="majorHAnsi" w:hAnsiTheme="majorHAnsi" w:cstheme="majorHAnsi"/>
                <w:sz w:val="24"/>
                <w:szCs w:val="24"/>
              </w:rPr>
              <w:t xml:space="preserve">       17,1%</w:t>
            </w:r>
          </w:p>
        </w:tc>
        <w:tc>
          <w:tcPr>
            <w:tcW w:w="1418" w:type="dxa"/>
            <w:vAlign w:val="center"/>
          </w:tcPr>
          <w:p w:rsidR="00345F18" w:rsidRPr="007013DD" w:rsidRDefault="00345F18" w:rsidP="00EC1A0A">
            <w:pPr>
              <w:spacing w:line="240" w:lineRule="auto"/>
              <w:jc w:val="right"/>
              <w:rPr>
                <w:rFonts w:asciiTheme="majorHAnsi" w:hAnsiTheme="majorHAnsi" w:cstheme="majorHAnsi"/>
                <w:sz w:val="24"/>
                <w:szCs w:val="24"/>
              </w:rPr>
            </w:pPr>
            <w:r w:rsidRPr="007013DD">
              <w:rPr>
                <w:rFonts w:asciiTheme="majorHAnsi" w:hAnsiTheme="majorHAnsi" w:cstheme="majorHAnsi"/>
                <w:sz w:val="24"/>
                <w:szCs w:val="24"/>
              </w:rPr>
              <w:t>25,59%</w:t>
            </w:r>
          </w:p>
        </w:tc>
      </w:tr>
    </w:tbl>
    <w:p w:rsidR="007013DD" w:rsidRDefault="007013DD" w:rsidP="007013DD">
      <w:pPr>
        <w:jc w:val="both"/>
        <w:rPr>
          <w:rFonts w:asciiTheme="majorHAnsi" w:hAnsiTheme="majorHAnsi" w:cstheme="majorHAnsi"/>
          <w:sz w:val="26"/>
          <w:szCs w:val="26"/>
        </w:rPr>
      </w:pPr>
    </w:p>
    <w:p w:rsidR="007013DD" w:rsidRDefault="007013DD" w:rsidP="007013DD">
      <w:pPr>
        <w:jc w:val="both"/>
        <w:rPr>
          <w:rFonts w:asciiTheme="majorHAnsi" w:hAnsiTheme="majorHAnsi" w:cstheme="majorHAnsi"/>
          <w:sz w:val="26"/>
          <w:szCs w:val="26"/>
          <w:lang w:val="sv-SE"/>
        </w:rPr>
      </w:pPr>
      <w:r w:rsidRPr="00EC1A0A">
        <w:rPr>
          <w:rFonts w:asciiTheme="majorHAnsi" w:hAnsiTheme="majorHAnsi" w:cstheme="majorHAnsi"/>
          <w:sz w:val="26"/>
          <w:szCs w:val="26"/>
          <w:lang w:val="sv-SE"/>
        </w:rPr>
        <w:t>Các chỉ tiêu tài chính</w:t>
      </w:r>
      <w:r w:rsidR="00D152A3" w:rsidRPr="00EC1A0A">
        <w:rPr>
          <w:rFonts w:asciiTheme="majorHAnsi" w:hAnsiTheme="majorHAnsi" w:cstheme="majorHAnsi"/>
          <w:sz w:val="26"/>
          <w:szCs w:val="26"/>
          <w:lang w:val="sv-SE"/>
        </w:rPr>
        <w:t xml:space="preserve"> toàn ngành </w:t>
      </w:r>
      <w:r w:rsidRPr="00EC1A0A">
        <w:rPr>
          <w:rFonts w:asciiTheme="majorHAnsi" w:hAnsiTheme="majorHAnsi" w:cstheme="majorHAnsi"/>
          <w:sz w:val="26"/>
          <w:szCs w:val="26"/>
          <w:lang w:val="sv-SE"/>
        </w:rPr>
        <w:t xml:space="preserve"> của Công ty ở mức </w:t>
      </w:r>
      <w:r w:rsidR="00D152A3" w:rsidRPr="00EC1A0A">
        <w:rPr>
          <w:rFonts w:asciiTheme="majorHAnsi" w:hAnsiTheme="majorHAnsi" w:cstheme="majorHAnsi"/>
          <w:sz w:val="26"/>
          <w:szCs w:val="26"/>
          <w:lang w:val="sv-SE"/>
        </w:rPr>
        <w:t>khá tốt so với  năm trước.</w:t>
      </w:r>
      <w:r w:rsidRPr="00EC1A0A">
        <w:rPr>
          <w:rFonts w:asciiTheme="majorHAnsi" w:hAnsiTheme="majorHAnsi" w:cstheme="majorHAnsi"/>
          <w:sz w:val="26"/>
          <w:szCs w:val="26"/>
          <w:lang w:val="sv-SE"/>
        </w:rPr>
        <w:t>. Trong  năm 2015 Các chỉ số có sự biến động lớn do trong năm 2015 công ty có sự bổ sung vốn điều lệ từ Phát hành cổ phiếu ra công chúng (35 tỷ đồng) và chi trả cổ tức bằng cổ phiếu (3,5 tỷ đồng).</w:t>
      </w:r>
    </w:p>
    <w:tbl>
      <w:tblPr>
        <w:tblW w:w="9000" w:type="dxa"/>
        <w:tblInd w:w="108" w:type="dxa"/>
        <w:tblLayout w:type="fixed"/>
        <w:tblLook w:val="04A0"/>
      </w:tblPr>
      <w:tblGrid>
        <w:gridCol w:w="3600"/>
        <w:gridCol w:w="540"/>
        <w:gridCol w:w="4860"/>
      </w:tblGrid>
      <w:tr w:rsidR="007013DD" w:rsidRPr="007013DD" w:rsidTr="003F1F9F">
        <w:tc>
          <w:tcPr>
            <w:tcW w:w="3600" w:type="dxa"/>
            <w:hideMark/>
          </w:tcPr>
          <w:p w:rsidR="007013DD" w:rsidRPr="00EC1A0A" w:rsidRDefault="007013DD" w:rsidP="003F1F9F">
            <w:pPr>
              <w:tabs>
                <w:tab w:val="left" w:pos="1530"/>
              </w:tabs>
              <w:jc w:val="both"/>
              <w:rPr>
                <w:rFonts w:ascii="Times New Roman" w:hAnsi="Times New Roman"/>
                <w:b/>
                <w:i/>
                <w:iCs/>
                <w:color w:val="0D0D0D" w:themeColor="text1" w:themeTint="F2"/>
                <w:lang w:val="sv-SE"/>
              </w:rPr>
            </w:pPr>
          </w:p>
          <w:p w:rsidR="007013DD" w:rsidRPr="007013DD" w:rsidRDefault="007013DD" w:rsidP="003F1F9F">
            <w:pPr>
              <w:tabs>
                <w:tab w:val="left" w:pos="1530"/>
              </w:tabs>
              <w:jc w:val="both"/>
              <w:rPr>
                <w:rFonts w:ascii="Times New Roman" w:hAnsi="Times New Roman"/>
                <w:b/>
                <w:i/>
                <w:iCs/>
                <w:color w:val="0D0D0D" w:themeColor="text1" w:themeTint="F2"/>
                <w:lang w:val="fr-FR"/>
              </w:rPr>
            </w:pPr>
            <w:r w:rsidRPr="007013DD">
              <w:rPr>
                <w:rFonts w:ascii="Times New Roman" w:hAnsi="Times New Roman"/>
                <w:b/>
                <w:i/>
                <w:iCs/>
                <w:color w:val="0D0D0D" w:themeColor="text1" w:themeTint="F2"/>
                <w:lang w:val="fr-FR"/>
              </w:rPr>
              <w:t>Nơi nhận:</w:t>
            </w:r>
          </w:p>
          <w:p w:rsidR="007013DD" w:rsidRPr="007013DD" w:rsidRDefault="007013DD" w:rsidP="007013DD">
            <w:pPr>
              <w:widowControl w:val="0"/>
              <w:numPr>
                <w:ilvl w:val="0"/>
                <w:numId w:val="7"/>
              </w:numPr>
              <w:tabs>
                <w:tab w:val="clear" w:pos="927"/>
                <w:tab w:val="num" w:pos="601"/>
                <w:tab w:val="left" w:pos="1530"/>
              </w:tabs>
              <w:spacing w:after="0" w:line="240" w:lineRule="auto"/>
              <w:ind w:hanging="609"/>
              <w:jc w:val="both"/>
              <w:rPr>
                <w:rFonts w:ascii="Times New Roman" w:hAnsi="Times New Roman"/>
                <w:i/>
                <w:iCs/>
                <w:color w:val="0D0D0D" w:themeColor="text1" w:themeTint="F2"/>
                <w:lang w:val="fr-FR"/>
              </w:rPr>
            </w:pPr>
            <w:r w:rsidRPr="007013DD">
              <w:rPr>
                <w:rFonts w:ascii="Times New Roman" w:hAnsi="Times New Roman"/>
                <w:i/>
                <w:iCs/>
                <w:color w:val="0D0D0D" w:themeColor="text1" w:themeTint="F2"/>
                <w:lang w:val="fr-FR"/>
              </w:rPr>
              <w:t>Đại hội đồng cổ đông;</w:t>
            </w:r>
          </w:p>
          <w:p w:rsidR="007013DD" w:rsidRPr="007013DD" w:rsidRDefault="007013DD" w:rsidP="007013DD">
            <w:pPr>
              <w:widowControl w:val="0"/>
              <w:numPr>
                <w:ilvl w:val="0"/>
                <w:numId w:val="7"/>
              </w:numPr>
              <w:tabs>
                <w:tab w:val="clear" w:pos="927"/>
                <w:tab w:val="num" w:pos="601"/>
                <w:tab w:val="left" w:pos="1530"/>
              </w:tabs>
              <w:spacing w:after="0" w:line="240" w:lineRule="auto"/>
              <w:ind w:hanging="609"/>
              <w:jc w:val="both"/>
              <w:rPr>
                <w:rFonts w:ascii="Times New Roman" w:hAnsi="Times New Roman"/>
                <w:i/>
                <w:iCs/>
                <w:color w:val="0D0D0D" w:themeColor="text1" w:themeTint="F2"/>
                <w:lang w:val="fr-FR"/>
              </w:rPr>
            </w:pPr>
            <w:r w:rsidRPr="007013DD">
              <w:rPr>
                <w:rFonts w:ascii="Times New Roman" w:hAnsi="Times New Roman"/>
                <w:i/>
                <w:iCs/>
                <w:color w:val="0D0D0D" w:themeColor="text1" w:themeTint="F2"/>
                <w:lang w:val="fr-FR"/>
              </w:rPr>
              <w:t>HĐQT, BKS ;</w:t>
            </w:r>
          </w:p>
          <w:p w:rsidR="007013DD" w:rsidRPr="007013DD" w:rsidRDefault="007013DD" w:rsidP="007013DD">
            <w:pPr>
              <w:widowControl w:val="0"/>
              <w:numPr>
                <w:ilvl w:val="0"/>
                <w:numId w:val="7"/>
              </w:numPr>
              <w:tabs>
                <w:tab w:val="clear" w:pos="927"/>
                <w:tab w:val="num" w:pos="601"/>
                <w:tab w:val="left" w:pos="1530"/>
              </w:tabs>
              <w:spacing w:after="0" w:line="240" w:lineRule="auto"/>
              <w:ind w:hanging="609"/>
              <w:jc w:val="both"/>
              <w:rPr>
                <w:rFonts w:ascii="Times New Roman" w:hAnsi="Times New Roman"/>
                <w:i/>
                <w:iCs/>
                <w:color w:val="0D0D0D" w:themeColor="text1" w:themeTint="F2"/>
                <w:lang w:val="fr-FR"/>
              </w:rPr>
            </w:pPr>
            <w:r w:rsidRPr="007013DD">
              <w:rPr>
                <w:rFonts w:ascii="Times New Roman" w:hAnsi="Times New Roman"/>
                <w:i/>
                <w:iCs/>
                <w:color w:val="0D0D0D" w:themeColor="text1" w:themeTint="F2"/>
                <w:lang w:val="fr-FR"/>
              </w:rPr>
              <w:t>Ban TGĐ;</w:t>
            </w:r>
          </w:p>
          <w:p w:rsidR="007013DD" w:rsidRPr="007013DD" w:rsidRDefault="007013DD" w:rsidP="007013DD">
            <w:pPr>
              <w:widowControl w:val="0"/>
              <w:numPr>
                <w:ilvl w:val="0"/>
                <w:numId w:val="7"/>
              </w:numPr>
              <w:tabs>
                <w:tab w:val="clear" w:pos="927"/>
                <w:tab w:val="num" w:pos="601"/>
                <w:tab w:val="left" w:pos="1530"/>
              </w:tabs>
              <w:spacing w:after="0" w:line="240" w:lineRule="auto"/>
              <w:ind w:hanging="609"/>
              <w:jc w:val="both"/>
              <w:rPr>
                <w:rFonts w:ascii="Times New Roman" w:hAnsi="Times New Roman"/>
                <w:i/>
                <w:iCs/>
                <w:color w:val="0D0D0D" w:themeColor="text1" w:themeTint="F2"/>
                <w:lang w:val="fr-FR"/>
              </w:rPr>
            </w:pPr>
            <w:r w:rsidRPr="007013DD">
              <w:rPr>
                <w:rFonts w:ascii="Times New Roman" w:hAnsi="Times New Roman"/>
                <w:i/>
                <w:iCs/>
                <w:color w:val="0D0D0D" w:themeColor="text1" w:themeTint="F2"/>
                <w:lang w:val="fr-FR"/>
              </w:rPr>
              <w:t>Website;</w:t>
            </w:r>
          </w:p>
          <w:p w:rsidR="007013DD" w:rsidRPr="007013DD" w:rsidRDefault="007013DD" w:rsidP="007013DD">
            <w:pPr>
              <w:widowControl w:val="0"/>
              <w:numPr>
                <w:ilvl w:val="0"/>
                <w:numId w:val="7"/>
              </w:numPr>
              <w:tabs>
                <w:tab w:val="clear" w:pos="927"/>
                <w:tab w:val="num" w:pos="601"/>
                <w:tab w:val="left" w:pos="1530"/>
              </w:tabs>
              <w:spacing w:after="0" w:line="240" w:lineRule="auto"/>
              <w:ind w:hanging="609"/>
              <w:jc w:val="both"/>
              <w:rPr>
                <w:rFonts w:ascii="Times New Roman" w:hAnsi="Times New Roman"/>
                <w:iCs/>
                <w:color w:val="0D0D0D" w:themeColor="text1" w:themeTint="F2"/>
                <w:lang w:val="fr-FR"/>
              </w:rPr>
            </w:pPr>
            <w:r w:rsidRPr="007013DD">
              <w:rPr>
                <w:rFonts w:ascii="Times New Roman" w:hAnsi="Times New Roman"/>
                <w:i/>
                <w:iCs/>
                <w:color w:val="0D0D0D" w:themeColor="text1" w:themeTint="F2"/>
                <w:lang w:val="fr-FR"/>
              </w:rPr>
              <w:t>Lưu VT.</w:t>
            </w:r>
          </w:p>
        </w:tc>
        <w:tc>
          <w:tcPr>
            <w:tcW w:w="540" w:type="dxa"/>
          </w:tcPr>
          <w:p w:rsidR="007013DD" w:rsidRPr="007013DD" w:rsidRDefault="007013DD" w:rsidP="003F1F9F">
            <w:pPr>
              <w:tabs>
                <w:tab w:val="left" w:pos="1530"/>
              </w:tabs>
              <w:jc w:val="both"/>
              <w:rPr>
                <w:rFonts w:ascii="Times New Roman" w:hAnsi="Times New Roman"/>
                <w:iCs/>
                <w:color w:val="0D0D0D" w:themeColor="text1" w:themeTint="F2"/>
                <w:szCs w:val="20"/>
                <w:lang w:val="fr-FR"/>
              </w:rPr>
            </w:pPr>
          </w:p>
        </w:tc>
        <w:tc>
          <w:tcPr>
            <w:tcW w:w="4860" w:type="dxa"/>
          </w:tcPr>
          <w:p w:rsidR="007013DD" w:rsidRPr="007013DD" w:rsidRDefault="00CC5D30" w:rsidP="003F1F9F">
            <w:pPr>
              <w:pStyle w:val="Heading3"/>
              <w:jc w:val="center"/>
              <w:rPr>
                <w:rFonts w:ascii="Times New Roman" w:hAnsi="Times New Roman"/>
                <w:color w:val="0D0D0D" w:themeColor="text1" w:themeTint="F2"/>
              </w:rPr>
            </w:pPr>
            <w:r>
              <w:rPr>
                <w:rFonts w:ascii="Times New Roman" w:hAnsi="Times New Roman"/>
                <w:noProof/>
                <w:color w:val="0D0D0D" w:themeColor="text1" w:themeTint="F2"/>
                <w:lang w:val="vi-VN" w:eastAsia="vi-VN"/>
              </w:rPr>
              <w:drawing>
                <wp:anchor distT="0" distB="0" distL="114300" distR="114300" simplePos="0" relativeHeight="251662336" behindDoc="1" locked="0" layoutInCell="1" allowOverlap="1">
                  <wp:simplePos x="0" y="0"/>
                  <wp:positionH relativeFrom="column">
                    <wp:posOffset>249596</wp:posOffset>
                  </wp:positionH>
                  <wp:positionV relativeFrom="paragraph">
                    <wp:posOffset>305178</wp:posOffset>
                  </wp:positionV>
                  <wp:extent cx="2461503" cy="1556425"/>
                  <wp:effectExtent l="19050" t="0" r="0" b="0"/>
                  <wp:wrapNone/>
                  <wp:docPr id="4" name="Picture 3" descr="12348758_859563757496933_484584434_n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348758_859563757496933_484584434_n (1).jpg"/>
                          <pic:cNvPicPr/>
                        </pic:nvPicPr>
                        <pic:blipFill>
                          <a:blip r:embed="rId10"/>
                          <a:stretch>
                            <a:fillRect/>
                          </a:stretch>
                        </pic:blipFill>
                        <pic:spPr>
                          <a:xfrm>
                            <a:off x="0" y="0"/>
                            <a:ext cx="2461503" cy="1556425"/>
                          </a:xfrm>
                          <a:prstGeom prst="rect">
                            <a:avLst/>
                          </a:prstGeom>
                        </pic:spPr>
                      </pic:pic>
                    </a:graphicData>
                  </a:graphic>
                </wp:anchor>
              </w:drawing>
            </w:r>
            <w:r w:rsidR="007013DD" w:rsidRPr="007013DD">
              <w:rPr>
                <w:rFonts w:ascii="Times New Roman" w:hAnsi="Times New Roman"/>
                <w:color w:val="0D0D0D" w:themeColor="text1" w:themeTint="F2"/>
              </w:rPr>
              <w:t>TM. BAN GIÁM ĐỐC</w:t>
            </w:r>
            <w:bookmarkStart w:id="0" w:name="_GoBack"/>
            <w:bookmarkEnd w:id="0"/>
          </w:p>
          <w:p w:rsidR="007013DD" w:rsidRPr="007013DD" w:rsidRDefault="007013DD" w:rsidP="003F1F9F">
            <w:pPr>
              <w:pStyle w:val="Heading4"/>
              <w:jc w:val="center"/>
              <w:rPr>
                <w:rFonts w:ascii="Times New Roman" w:hAnsi="Times New Roman"/>
                <w:color w:val="0D0D0D" w:themeColor="text1" w:themeTint="F2"/>
                <w:szCs w:val="20"/>
                <w:lang w:val="fr-FR"/>
              </w:rPr>
            </w:pPr>
            <w:r w:rsidRPr="007013DD">
              <w:rPr>
                <w:rFonts w:ascii="Times New Roman" w:hAnsi="Times New Roman"/>
                <w:color w:val="0D0D0D" w:themeColor="text1" w:themeTint="F2"/>
                <w:sz w:val="26"/>
                <w:szCs w:val="26"/>
                <w:lang w:val="en-GB"/>
              </w:rPr>
              <w:t>TỔNG GIÁM ĐỐC</w:t>
            </w:r>
          </w:p>
          <w:p w:rsidR="007013DD" w:rsidRPr="00CC5D30" w:rsidRDefault="007013DD" w:rsidP="003F1F9F">
            <w:pPr>
              <w:jc w:val="center"/>
              <w:rPr>
                <w:rFonts w:ascii="Times New Roman" w:hAnsi="Times New Roman"/>
                <w:color w:val="0D0D0D" w:themeColor="text1" w:themeTint="F2"/>
              </w:rPr>
            </w:pPr>
          </w:p>
          <w:p w:rsidR="00CC5D30" w:rsidRPr="00CC5D30" w:rsidRDefault="00CC5D30" w:rsidP="003F1F9F">
            <w:pPr>
              <w:jc w:val="center"/>
              <w:rPr>
                <w:rFonts w:ascii="Times New Roman" w:hAnsi="Times New Roman"/>
                <w:color w:val="0D0D0D" w:themeColor="text1" w:themeTint="F2"/>
              </w:rPr>
            </w:pPr>
          </w:p>
          <w:p w:rsidR="007013DD" w:rsidRPr="00CC5D30" w:rsidRDefault="007013DD" w:rsidP="003F1F9F">
            <w:pPr>
              <w:jc w:val="center"/>
              <w:rPr>
                <w:rFonts w:ascii="Times New Roman" w:hAnsi="Times New Roman"/>
                <w:b/>
                <w:color w:val="0D0D0D" w:themeColor="text1" w:themeTint="F2"/>
              </w:rPr>
            </w:pPr>
          </w:p>
          <w:p w:rsidR="007013DD" w:rsidRPr="00CC5D30" w:rsidRDefault="007013DD" w:rsidP="003F1F9F">
            <w:pPr>
              <w:jc w:val="center"/>
              <w:rPr>
                <w:rFonts w:ascii="Times New Roman" w:hAnsi="Times New Roman"/>
                <w:color w:val="0D0D0D" w:themeColor="text1" w:themeTint="F2"/>
              </w:rPr>
            </w:pPr>
            <w:r w:rsidRPr="00CC5D30">
              <w:rPr>
                <w:rFonts w:ascii="Times New Roman" w:hAnsi="Times New Roman"/>
                <w:b/>
                <w:color w:val="0D0D0D" w:themeColor="text1" w:themeTint="F2"/>
              </w:rPr>
              <w:t>PHÙNG VĂN THÁI</w:t>
            </w:r>
          </w:p>
        </w:tc>
      </w:tr>
    </w:tbl>
    <w:p w:rsidR="007013DD" w:rsidRPr="007013DD" w:rsidRDefault="007013DD" w:rsidP="007013DD">
      <w:pPr>
        <w:jc w:val="both"/>
        <w:rPr>
          <w:rFonts w:asciiTheme="majorHAnsi" w:hAnsiTheme="majorHAnsi" w:cstheme="majorHAnsi"/>
          <w:sz w:val="26"/>
          <w:szCs w:val="26"/>
          <w:lang w:val="sv-SE"/>
        </w:rPr>
      </w:pPr>
    </w:p>
    <w:sectPr w:rsidR="007013DD" w:rsidRPr="007013DD" w:rsidSect="00CC5D30">
      <w:headerReference w:type="default" r:id="rId11"/>
      <w:pgSz w:w="11906" w:h="16838"/>
      <w:pgMar w:top="1134" w:right="1134" w:bottom="1134"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75CD" w:rsidRDefault="005275CD" w:rsidP="0004750B">
      <w:pPr>
        <w:spacing w:after="0" w:line="240" w:lineRule="auto"/>
      </w:pPr>
      <w:r>
        <w:separator/>
      </w:r>
    </w:p>
  </w:endnote>
  <w:endnote w:type="continuationSeparator" w:id="1">
    <w:p w:rsidR="005275CD" w:rsidRDefault="005275CD" w:rsidP="000475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Titling MT">
    <w:panose1 w:val="02020502060505020804"/>
    <w:charset w:val="00"/>
    <w:family w:val="roman"/>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A3"/>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75CD" w:rsidRDefault="005275CD" w:rsidP="0004750B">
      <w:pPr>
        <w:spacing w:after="0" w:line="240" w:lineRule="auto"/>
      </w:pPr>
      <w:r>
        <w:separator/>
      </w:r>
    </w:p>
  </w:footnote>
  <w:footnote w:type="continuationSeparator" w:id="1">
    <w:p w:rsidR="005275CD" w:rsidRDefault="005275CD" w:rsidP="000475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50B" w:rsidRDefault="00F74DCE" w:rsidP="0004750B">
    <w:pPr>
      <w:pStyle w:val="Header"/>
      <w:tabs>
        <w:tab w:val="clear" w:pos="4513"/>
        <w:tab w:val="clear" w:pos="9026"/>
        <w:tab w:val="left" w:pos="1808"/>
      </w:tabs>
    </w:pPr>
    <w:r>
      <w:rPr>
        <w:noProof/>
        <w:lang w:val="vi-VN" w:eastAsia="vi-VN"/>
      </w:rPr>
      <w:pict>
        <v:shapetype id="_x0000_t202" coordsize="21600,21600" o:spt="202" path="m,l,21600r21600,l21600,xe">
          <v:stroke joinstyle="miter"/>
          <v:path gradientshapeok="t" o:connecttype="rect"/>
        </v:shapetype>
        <v:shape id="_x0000_s2051" type="#_x0000_t202" style="position:absolute;margin-left:309.4pt;margin-top:1.35pt;width:164.25pt;height:34.4pt;z-index:251660288;mso-height-percent:200;mso-height-percent:200;mso-width-relative:margin;mso-height-relative:margin" filled="f" stroked="f">
          <v:textbox style="mso-fit-shape-to-text:t">
            <w:txbxContent>
              <w:p w:rsidR="0004750B" w:rsidRPr="003A3502" w:rsidRDefault="0004750B" w:rsidP="0004750B">
                <w:pPr>
                  <w:rPr>
                    <w:rFonts w:ascii="Times New Roman" w:hAnsi="Times New Roman"/>
                    <w:i/>
                    <w:color w:val="E36C0A"/>
                    <w:sz w:val="26"/>
                    <w:szCs w:val="26"/>
                  </w:rPr>
                </w:pPr>
                <w:r w:rsidRPr="003A3502">
                  <w:rPr>
                    <w:rFonts w:ascii="Times New Roman" w:hAnsi="Times New Roman"/>
                    <w:i/>
                    <w:color w:val="E36C0A"/>
                    <w:sz w:val="26"/>
                    <w:szCs w:val="26"/>
                  </w:rPr>
                  <w:t>Báo cáo</w:t>
                </w:r>
                <w:r>
                  <w:rPr>
                    <w:rFonts w:ascii="Times New Roman" w:hAnsi="Times New Roman"/>
                    <w:i/>
                    <w:color w:val="E36C0A"/>
                    <w:sz w:val="26"/>
                    <w:szCs w:val="26"/>
                  </w:rPr>
                  <w:t xml:space="preserve"> của </w:t>
                </w:r>
                <w:r w:rsidRPr="003A3502">
                  <w:rPr>
                    <w:rFonts w:ascii="Times New Roman" w:hAnsi="Times New Roman"/>
                    <w:i/>
                    <w:color w:val="E36C0A"/>
                    <w:sz w:val="26"/>
                    <w:szCs w:val="26"/>
                  </w:rPr>
                  <w:t xml:space="preserve"> Ban giám đốc</w:t>
                </w:r>
              </w:p>
            </w:txbxContent>
          </v:textbox>
        </v:shape>
      </w:pict>
    </w:r>
    <w:r w:rsidR="0004750B">
      <w:rPr>
        <w:noProof/>
        <w:lang w:val="vi-VN" w:eastAsia="vi-VN"/>
      </w:rPr>
      <w:drawing>
        <wp:anchor distT="0" distB="0" distL="114300" distR="114300" simplePos="0" relativeHeight="251659264" behindDoc="0" locked="0" layoutInCell="1" allowOverlap="1">
          <wp:simplePos x="0" y="0"/>
          <wp:positionH relativeFrom="margin">
            <wp:posOffset>-146685</wp:posOffset>
          </wp:positionH>
          <wp:positionV relativeFrom="margin">
            <wp:posOffset>-632460</wp:posOffset>
          </wp:positionV>
          <wp:extent cx="835660" cy="369570"/>
          <wp:effectExtent l="19050" t="0" r="2540" b="0"/>
          <wp:wrapSquare wrapText="bothSides"/>
          <wp:docPr id="2" name="Picture 2" descr="Logo final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final (1)"/>
                  <pic:cNvPicPr>
                    <a:picLocks noChangeAspect="1" noChangeArrowheads="1"/>
                  </pic:cNvPicPr>
                </pic:nvPicPr>
                <pic:blipFill>
                  <a:blip r:embed="rId1"/>
                  <a:srcRect/>
                  <a:stretch>
                    <a:fillRect/>
                  </a:stretch>
                </pic:blipFill>
                <pic:spPr bwMode="auto">
                  <a:xfrm>
                    <a:off x="0" y="0"/>
                    <a:ext cx="835660" cy="369570"/>
                  </a:xfrm>
                  <a:prstGeom prst="rect">
                    <a:avLst/>
                  </a:prstGeom>
                  <a:noFill/>
                  <a:ln w="9525">
                    <a:noFill/>
                    <a:miter lim="800000"/>
                    <a:headEnd/>
                    <a:tailEnd/>
                  </a:ln>
                </pic:spPr>
              </pic:pic>
            </a:graphicData>
          </a:graphic>
        </wp:anchor>
      </w:drawing>
    </w:r>
    <w:r>
      <w:rPr>
        <w:noProof/>
        <w:lang w:val="vi-VN" w:eastAsia="vi-VN"/>
      </w:rPr>
      <w:pict>
        <v:shapetype id="_x0000_t32" coordsize="21600,21600" o:spt="32" o:oned="t" path="m,l21600,21600e" filled="f">
          <v:path arrowok="t" fillok="f" o:connecttype="none"/>
          <o:lock v:ext="edit" shapetype="t"/>
        </v:shapetype>
        <v:shape id="_x0000_s2049" type="#_x0000_t32" style="position:absolute;margin-left:-11.4pt;margin-top:24.55pt;width:472.5pt;height:2.85pt;flip:y;z-index:251658240;mso-position-horizontal-relative:text;mso-position-vertical-relative:text" o:connectortype="straight" strokecolor="#f79646" strokeweight="1.5pt">
          <v:shadow type="perspective" color="#974706" opacity=".5" offset="1pt" offset2="-1pt"/>
        </v:shape>
      </w:pict>
    </w:r>
    <w:r w:rsidR="0004750B">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01251B"/>
    <w:multiLevelType w:val="hybridMultilevel"/>
    <w:tmpl w:val="854C1A88"/>
    <w:lvl w:ilvl="0" w:tplc="A182606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39623679"/>
    <w:multiLevelType w:val="hybridMultilevel"/>
    <w:tmpl w:val="DB68B35C"/>
    <w:lvl w:ilvl="0" w:tplc="A182606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4009500A"/>
    <w:multiLevelType w:val="hybridMultilevel"/>
    <w:tmpl w:val="4DA64C58"/>
    <w:lvl w:ilvl="0" w:tplc="042A000F">
      <w:start w:val="1"/>
      <w:numFmt w:val="decimal"/>
      <w:lvlText w:val="%1."/>
      <w:lvlJc w:val="left"/>
      <w:pPr>
        <w:ind w:left="502"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5CC06CBA"/>
    <w:multiLevelType w:val="hybridMultilevel"/>
    <w:tmpl w:val="E7F65808"/>
    <w:lvl w:ilvl="0" w:tplc="A182606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6D3C62E8"/>
    <w:multiLevelType w:val="hybridMultilevel"/>
    <w:tmpl w:val="6038E3CE"/>
    <w:lvl w:ilvl="0" w:tplc="7444D62A">
      <w:start w:val="1"/>
      <w:numFmt w:val="bullet"/>
      <w:lvlText w:val="-"/>
      <w:lvlJc w:val="left"/>
      <w:pPr>
        <w:tabs>
          <w:tab w:val="num" w:pos="927"/>
        </w:tabs>
        <w:ind w:left="927" w:hanging="360"/>
      </w:pPr>
      <w:rPr>
        <w:rFonts w:ascii="Perpetua Titling MT" w:hAnsi="Perpetua Titling MT"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73FB3225"/>
    <w:multiLevelType w:val="hybridMultilevel"/>
    <w:tmpl w:val="ED0A5EF4"/>
    <w:lvl w:ilvl="0" w:tplc="A182606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7CBE5047"/>
    <w:multiLevelType w:val="multilevel"/>
    <w:tmpl w:val="042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
  </w:num>
  <w:num w:numId="3">
    <w:abstractNumId w:val="6"/>
  </w:num>
  <w:num w:numId="4">
    <w:abstractNumId w:val="3"/>
  </w:num>
  <w:num w:numId="5">
    <w:abstractNumId w:val="5"/>
  </w:num>
  <w:num w:numId="6">
    <w:abstractNumId w:val="0"/>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hdrShapeDefaults>
    <o:shapedefaults v:ext="edit" spidmax="10242"/>
    <o:shapelayout v:ext="edit">
      <o:idmap v:ext="edit" data="2"/>
      <o:rules v:ext="edit">
        <o:r id="V:Rule2" type="connector" idref="#_x0000_s2049"/>
      </o:rules>
    </o:shapelayout>
  </w:hdrShapeDefaults>
  <w:footnotePr>
    <w:footnote w:id="0"/>
    <w:footnote w:id="1"/>
  </w:footnotePr>
  <w:endnotePr>
    <w:endnote w:id="0"/>
    <w:endnote w:id="1"/>
  </w:endnotePr>
  <w:compat/>
  <w:rsids>
    <w:rsidRoot w:val="0004750B"/>
    <w:rsid w:val="0004750B"/>
    <w:rsid w:val="00063E43"/>
    <w:rsid w:val="00136AAD"/>
    <w:rsid w:val="001F1059"/>
    <w:rsid w:val="002345AE"/>
    <w:rsid w:val="00247AF4"/>
    <w:rsid w:val="00262A04"/>
    <w:rsid w:val="002A4584"/>
    <w:rsid w:val="002A4826"/>
    <w:rsid w:val="00345F18"/>
    <w:rsid w:val="0036086F"/>
    <w:rsid w:val="004A72C8"/>
    <w:rsid w:val="005275CD"/>
    <w:rsid w:val="005E3AD6"/>
    <w:rsid w:val="006B6F1B"/>
    <w:rsid w:val="007013DD"/>
    <w:rsid w:val="007B0C17"/>
    <w:rsid w:val="00834158"/>
    <w:rsid w:val="008F1F89"/>
    <w:rsid w:val="00937CB5"/>
    <w:rsid w:val="0095756B"/>
    <w:rsid w:val="009724C1"/>
    <w:rsid w:val="009B1F28"/>
    <w:rsid w:val="009F60DE"/>
    <w:rsid w:val="00A0298F"/>
    <w:rsid w:val="00A65290"/>
    <w:rsid w:val="00AD3D4A"/>
    <w:rsid w:val="00B25B12"/>
    <w:rsid w:val="00C01212"/>
    <w:rsid w:val="00C017C8"/>
    <w:rsid w:val="00C12388"/>
    <w:rsid w:val="00CC5D30"/>
    <w:rsid w:val="00D152A3"/>
    <w:rsid w:val="00D3742B"/>
    <w:rsid w:val="00D3753E"/>
    <w:rsid w:val="00EC1A0A"/>
    <w:rsid w:val="00F74DCE"/>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50B"/>
    <w:rPr>
      <w:rFonts w:ascii="Calibri" w:eastAsia="Times New Roman" w:hAnsi="Calibri" w:cs="Times New Roman"/>
      <w:lang w:val="en-US"/>
    </w:rPr>
  </w:style>
  <w:style w:type="paragraph" w:styleId="Heading3">
    <w:name w:val="heading 3"/>
    <w:basedOn w:val="Normal"/>
    <w:next w:val="Normal"/>
    <w:link w:val="Heading3Char"/>
    <w:uiPriority w:val="9"/>
    <w:semiHidden/>
    <w:unhideWhenUsed/>
    <w:qFormat/>
    <w:rsid w:val="007013DD"/>
    <w:pPr>
      <w:keepNext/>
      <w:spacing w:before="240" w:after="60" w:line="240" w:lineRule="auto"/>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7013DD"/>
    <w:pPr>
      <w:keepNext/>
      <w:spacing w:before="240" w:after="60" w:line="240" w:lineRule="auto"/>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4750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4750B"/>
    <w:rPr>
      <w:rFonts w:ascii="Calibri" w:eastAsia="Times New Roman" w:hAnsi="Calibri" w:cs="Times New Roman"/>
      <w:lang w:val="en-US"/>
    </w:rPr>
  </w:style>
  <w:style w:type="paragraph" w:styleId="Footer">
    <w:name w:val="footer"/>
    <w:basedOn w:val="Normal"/>
    <w:link w:val="FooterChar"/>
    <w:uiPriority w:val="99"/>
    <w:semiHidden/>
    <w:unhideWhenUsed/>
    <w:rsid w:val="0004750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4750B"/>
    <w:rPr>
      <w:rFonts w:ascii="Calibri" w:eastAsia="Times New Roman" w:hAnsi="Calibri" w:cs="Times New Roman"/>
      <w:lang w:val="en-US"/>
    </w:rPr>
  </w:style>
  <w:style w:type="paragraph" w:styleId="ListParagraph">
    <w:name w:val="List Paragraph"/>
    <w:basedOn w:val="Normal"/>
    <w:uiPriority w:val="34"/>
    <w:qFormat/>
    <w:rsid w:val="00C01212"/>
    <w:pPr>
      <w:ind w:left="720"/>
      <w:contextualSpacing/>
    </w:pPr>
  </w:style>
  <w:style w:type="paragraph" w:styleId="BalloonText">
    <w:name w:val="Balloon Text"/>
    <w:basedOn w:val="Normal"/>
    <w:link w:val="BalloonTextChar"/>
    <w:uiPriority w:val="99"/>
    <w:semiHidden/>
    <w:unhideWhenUsed/>
    <w:rsid w:val="00345F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5F18"/>
    <w:rPr>
      <w:rFonts w:ascii="Tahoma" w:eastAsia="Times New Roman" w:hAnsi="Tahoma" w:cs="Tahoma"/>
      <w:sz w:val="16"/>
      <w:szCs w:val="16"/>
      <w:lang w:val="en-US"/>
    </w:rPr>
  </w:style>
  <w:style w:type="character" w:customStyle="1" w:styleId="Heading3Char">
    <w:name w:val="Heading 3 Char"/>
    <w:basedOn w:val="DefaultParagraphFont"/>
    <w:link w:val="Heading3"/>
    <w:uiPriority w:val="9"/>
    <w:semiHidden/>
    <w:rsid w:val="007013DD"/>
    <w:rPr>
      <w:rFonts w:ascii="Cambria" w:eastAsia="Times New Roman" w:hAnsi="Cambria" w:cs="Times New Roman"/>
      <w:b/>
      <w:bCs/>
      <w:sz w:val="26"/>
      <w:szCs w:val="26"/>
      <w:lang w:val="en-US"/>
    </w:rPr>
  </w:style>
  <w:style w:type="character" w:customStyle="1" w:styleId="Heading4Char">
    <w:name w:val="Heading 4 Char"/>
    <w:basedOn w:val="DefaultParagraphFont"/>
    <w:link w:val="Heading4"/>
    <w:uiPriority w:val="9"/>
    <w:semiHidden/>
    <w:rsid w:val="007013DD"/>
    <w:rPr>
      <w:rFonts w:ascii="Calibri" w:eastAsia="Times New Roman" w:hAnsi="Calibri" w:cs="Times New Roman"/>
      <w:b/>
      <w:bCs/>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chart" Target="charts/chart3.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Desktop\TTB\Copy%20of%20BCTC%20TTB.%2012.2014.xls" TargetMode="External"/></Relationships>
</file>

<file path=word/charts/_rels/chart3.xml.rels><?xml version="1.0" encoding="UTF-8" standalone="yes"?>
<Relationships xmlns="http://schemas.openxmlformats.org/package/2006/relationships"><Relationship Id="rId2" Type="http://schemas.openxmlformats.org/officeDocument/2006/relationships/oleObject" Target="file:///C:\Users\Admin\Desktop\TTB\Copy%20of%20BCTC%20TTB.%2012.2014.xls"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vi-VN"/>
  <c:chart>
    <c:title>
      <c:tx>
        <c:rich>
          <a:bodyPr/>
          <a:lstStyle/>
          <a:p>
            <a:pPr>
              <a:defRPr lang="en-US" sz="1000" b="1">
                <a:solidFill>
                  <a:srgbClr val="0070C0"/>
                </a:solidFill>
                <a:latin typeface="Times New Roman" pitchFamily="18" charset="0"/>
                <a:cs typeface="Times New Roman" pitchFamily="18" charset="0"/>
              </a:defRPr>
            </a:pPr>
            <a:r>
              <a:rPr lang="en-US" sz="1000" b="1">
                <a:solidFill>
                  <a:srgbClr val="0070C0"/>
                </a:solidFill>
                <a:latin typeface="Times New Roman" pitchFamily="18" charset="0"/>
                <a:cs typeface="Times New Roman" pitchFamily="18" charset="0"/>
              </a:rPr>
              <a:t>Quy mô tài sản và nợ ( tỷ đồng)</a:t>
            </a:r>
            <a:endParaRPr lang="vi-VN" sz="1000" b="1">
              <a:solidFill>
                <a:srgbClr val="0070C0"/>
              </a:solidFill>
              <a:latin typeface="Times New Roman" pitchFamily="18" charset="0"/>
              <a:cs typeface="Times New Roman" pitchFamily="18" charset="0"/>
            </a:endParaRPr>
          </a:p>
        </c:rich>
      </c:tx>
      <c:layout>
        <c:manualLayout>
          <c:xMode val="edge"/>
          <c:yMode val="edge"/>
          <c:x val="0.18667380759749508"/>
          <c:y val="5.5668016194332023E-2"/>
        </c:manualLayout>
      </c:layout>
      <c:overlay val="1"/>
    </c:title>
    <c:plotArea>
      <c:layout>
        <c:manualLayout>
          <c:layoutTarget val="inner"/>
          <c:xMode val="edge"/>
          <c:yMode val="edge"/>
          <c:x val="0.12061301165683272"/>
          <c:y val="4.8324351186243224E-2"/>
          <c:w val="0.84670262741308955"/>
          <c:h val="0.82642721890449333"/>
        </c:manualLayout>
      </c:layout>
      <c:barChart>
        <c:barDir val="col"/>
        <c:grouping val="clustered"/>
        <c:ser>
          <c:idx val="0"/>
          <c:order val="0"/>
          <c:tx>
            <c:strRef>
              <c:f>Sheet1!$B$1</c:f>
              <c:strCache>
                <c:ptCount val="1"/>
                <c:pt idx="0">
                  <c:v>Tổng tài sản</c:v>
                </c:pt>
              </c:strCache>
            </c:strRef>
          </c:tx>
          <c:dLbls>
            <c:txPr>
              <a:bodyPr/>
              <a:lstStyle/>
              <a:p>
                <a:pPr>
                  <a:defRPr lang="en-US"/>
                </a:pPr>
                <a:endParaRPr lang="vi-VN"/>
              </a:p>
            </c:txPr>
            <c:showVal val="1"/>
          </c:dLbls>
          <c:cat>
            <c:numRef>
              <c:f>Sheet1!$A$2:$A$6</c:f>
              <c:numCache>
                <c:formatCode>General</c:formatCode>
                <c:ptCount val="5"/>
                <c:pt idx="0">
                  <c:v>2011</c:v>
                </c:pt>
                <c:pt idx="1">
                  <c:v>2012</c:v>
                </c:pt>
                <c:pt idx="2">
                  <c:v>2013</c:v>
                </c:pt>
                <c:pt idx="3">
                  <c:v>2014</c:v>
                </c:pt>
                <c:pt idx="4">
                  <c:v>2015</c:v>
                </c:pt>
              </c:numCache>
            </c:numRef>
          </c:cat>
          <c:val>
            <c:numRef>
              <c:f>Sheet1!$B$2:$B$6</c:f>
              <c:numCache>
                <c:formatCode>General</c:formatCode>
                <c:ptCount val="5"/>
                <c:pt idx="0">
                  <c:v>113.5</c:v>
                </c:pt>
                <c:pt idx="1">
                  <c:v>100.3</c:v>
                </c:pt>
                <c:pt idx="2">
                  <c:v>105.9</c:v>
                </c:pt>
                <c:pt idx="3">
                  <c:v>135.30000000000001</c:v>
                </c:pt>
                <c:pt idx="4">
                  <c:v>239.1</c:v>
                </c:pt>
              </c:numCache>
            </c:numRef>
          </c:val>
        </c:ser>
        <c:ser>
          <c:idx val="1"/>
          <c:order val="1"/>
          <c:tx>
            <c:strRef>
              <c:f>Sheet1!$C$1</c:f>
              <c:strCache>
                <c:ptCount val="1"/>
                <c:pt idx="0">
                  <c:v>Tổng nợ</c:v>
                </c:pt>
              </c:strCache>
            </c:strRef>
          </c:tx>
          <c:dLbls>
            <c:txPr>
              <a:bodyPr/>
              <a:lstStyle/>
              <a:p>
                <a:pPr>
                  <a:defRPr lang="en-US"/>
                </a:pPr>
                <a:endParaRPr lang="vi-VN"/>
              </a:p>
            </c:txPr>
            <c:showVal val="1"/>
          </c:dLbls>
          <c:cat>
            <c:numRef>
              <c:f>Sheet1!$A$2:$A$6</c:f>
              <c:numCache>
                <c:formatCode>General</c:formatCode>
                <c:ptCount val="5"/>
                <c:pt idx="0">
                  <c:v>2011</c:v>
                </c:pt>
                <c:pt idx="1">
                  <c:v>2012</c:v>
                </c:pt>
                <c:pt idx="2">
                  <c:v>2013</c:v>
                </c:pt>
                <c:pt idx="3">
                  <c:v>2014</c:v>
                </c:pt>
                <c:pt idx="4">
                  <c:v>2015</c:v>
                </c:pt>
              </c:numCache>
            </c:numRef>
          </c:cat>
          <c:val>
            <c:numRef>
              <c:f>Sheet1!$C$2:$C$6</c:f>
              <c:numCache>
                <c:formatCode>General</c:formatCode>
                <c:ptCount val="5"/>
                <c:pt idx="0">
                  <c:v>71.599999999999994</c:v>
                </c:pt>
                <c:pt idx="1">
                  <c:v>60.9</c:v>
                </c:pt>
                <c:pt idx="2">
                  <c:v>65.900000000000006</c:v>
                </c:pt>
                <c:pt idx="3">
                  <c:v>84.8</c:v>
                </c:pt>
                <c:pt idx="4">
                  <c:v>145.19999999999999</c:v>
                </c:pt>
              </c:numCache>
            </c:numRef>
          </c:val>
        </c:ser>
        <c:dLbls>
          <c:showVal val="1"/>
        </c:dLbls>
        <c:axId val="92512256"/>
        <c:axId val="92513792"/>
      </c:barChart>
      <c:catAx>
        <c:axId val="92512256"/>
        <c:scaling>
          <c:orientation val="minMax"/>
        </c:scaling>
        <c:axPos val="b"/>
        <c:numFmt formatCode="General" sourceLinked="1"/>
        <c:tickLblPos val="nextTo"/>
        <c:txPr>
          <a:bodyPr/>
          <a:lstStyle/>
          <a:p>
            <a:pPr>
              <a:defRPr lang="en-US"/>
            </a:pPr>
            <a:endParaRPr lang="vi-VN"/>
          </a:p>
        </c:txPr>
        <c:crossAx val="92513792"/>
        <c:crosses val="autoZero"/>
        <c:auto val="1"/>
        <c:lblAlgn val="ctr"/>
        <c:lblOffset val="100"/>
      </c:catAx>
      <c:valAx>
        <c:axId val="92513792"/>
        <c:scaling>
          <c:orientation val="minMax"/>
        </c:scaling>
        <c:axPos val="l"/>
        <c:majorGridlines/>
        <c:numFmt formatCode="General" sourceLinked="1"/>
        <c:tickLblPos val="nextTo"/>
        <c:txPr>
          <a:bodyPr/>
          <a:lstStyle/>
          <a:p>
            <a:pPr>
              <a:defRPr lang="en-US"/>
            </a:pPr>
            <a:endParaRPr lang="vi-VN"/>
          </a:p>
        </c:txPr>
        <c:crossAx val="92512256"/>
        <c:crosses val="autoZero"/>
        <c:crossBetween val="between"/>
      </c:valAx>
    </c:plotArea>
    <c:legend>
      <c:legendPos val="r"/>
      <c:layout>
        <c:manualLayout>
          <c:xMode val="edge"/>
          <c:yMode val="edge"/>
          <c:x val="0.19286210786603944"/>
          <c:y val="0.23242731677771075"/>
          <c:w val="0.28936305176035337"/>
          <c:h val="0.1664413911823783"/>
        </c:manualLayout>
      </c:layout>
      <c:txPr>
        <a:bodyPr/>
        <a:lstStyle/>
        <a:p>
          <a:pPr>
            <a:defRPr lang="en-US"/>
          </a:pPr>
          <a:endParaRPr lang="vi-VN"/>
        </a:p>
      </c:txPr>
    </c:legend>
    <c:plotVisOnly val="1"/>
    <c:dispBlanksAs val="gap"/>
  </c:chart>
  <c:spPr>
    <a:ln>
      <a:noFill/>
    </a:ln>
  </c:spPr>
  <c:txPr>
    <a:bodyPr/>
    <a:lstStyle/>
    <a:p>
      <a:pPr>
        <a:defRPr sz="900">
          <a:ln>
            <a:noFill/>
          </a:ln>
          <a:latin typeface="+mj-lt"/>
        </a:defRPr>
      </a:pPr>
      <a:endParaRPr lang="vi-V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vi-VN"/>
  <c:chart>
    <c:title>
      <c:tx>
        <c:rich>
          <a:bodyPr/>
          <a:lstStyle/>
          <a:p>
            <a:pPr>
              <a:defRPr lang="en-US" sz="1000">
                <a:solidFill>
                  <a:srgbClr val="0070C0"/>
                </a:solidFill>
                <a:latin typeface="Times New Roman" pitchFamily="18" charset="0"/>
                <a:cs typeface="Times New Roman" pitchFamily="18" charset="0"/>
              </a:defRPr>
            </a:pPr>
            <a:r>
              <a:rPr lang="en-US" sz="1000">
                <a:solidFill>
                  <a:srgbClr val="0070C0"/>
                </a:solidFill>
                <a:latin typeface="Times New Roman" pitchFamily="18" charset="0"/>
                <a:cs typeface="Times New Roman" pitchFamily="18" charset="0"/>
              </a:rPr>
              <a:t>Doanh thu thuần (tỷ </a:t>
            </a:r>
            <a:r>
              <a:rPr lang="vi-VN" sz="1000">
                <a:solidFill>
                  <a:srgbClr val="0070C0"/>
                </a:solidFill>
                <a:latin typeface="Times New Roman" pitchFamily="18" charset="0"/>
                <a:cs typeface="Times New Roman" pitchFamily="18" charset="0"/>
              </a:rPr>
              <a:t>đồng</a:t>
            </a:r>
            <a:r>
              <a:rPr lang="en-US" sz="1000">
                <a:solidFill>
                  <a:srgbClr val="0070C0"/>
                </a:solidFill>
                <a:latin typeface="Times New Roman" pitchFamily="18" charset="0"/>
                <a:cs typeface="Times New Roman" pitchFamily="18" charset="0"/>
              </a:rPr>
              <a:t>)</a:t>
            </a:r>
          </a:p>
        </c:rich>
      </c:tx>
      <c:layout>
        <c:manualLayout>
          <c:xMode val="edge"/>
          <c:yMode val="edge"/>
          <c:x val="0.18176730695287333"/>
          <c:y val="4.1237113402061855E-2"/>
        </c:manualLayout>
      </c:layout>
    </c:title>
    <c:plotArea>
      <c:layout>
        <c:manualLayout>
          <c:layoutTarget val="inner"/>
          <c:xMode val="edge"/>
          <c:yMode val="edge"/>
          <c:x val="0.15389059223397922"/>
          <c:y val="0.16188959660297239"/>
          <c:w val="0.79444195825921005"/>
          <c:h val="0.68095357507063159"/>
        </c:manualLayout>
      </c:layout>
      <c:barChart>
        <c:barDir val="col"/>
        <c:grouping val="stacked"/>
        <c:ser>
          <c:idx val="1"/>
          <c:order val="1"/>
          <c:tx>
            <c:strRef>
              <c:f>IS!$C$24</c:f>
            </c:strRef>
          </c:tx>
          <c:spPr>
            <a:solidFill>
              <a:srgbClr val="0000FF"/>
            </a:solidFill>
          </c:spPr>
          <c:cat>
            <c:multiLvlStrRef>
              <c:f>IS!$D$2:$I$2</c:f>
            </c:multiLvlStrRef>
          </c:cat>
          <c:val>
            <c:numRef>
              <c:f>IS!$D$24:$I$24</c:f>
            </c:numRef>
          </c:val>
        </c:ser>
        <c:ser>
          <c:idx val="2"/>
          <c:order val="2"/>
          <c:tx>
            <c:strRef>
              <c:f>IS!$B$25</c:f>
            </c:strRef>
          </c:tx>
          <c:spPr>
            <a:ln w="19050">
              <a:solidFill>
                <a:srgbClr val="FFC000"/>
              </a:solidFill>
            </a:ln>
          </c:spPr>
          <c:val>
            <c:numRef>
              <c:f>IS!$D$25:$I$25</c:f>
            </c:numRef>
          </c:val>
        </c:ser>
        <c:ser>
          <c:idx val="0"/>
          <c:order val="0"/>
          <c:spPr>
            <a:solidFill>
              <a:srgbClr val="0000FF"/>
            </a:solidFill>
          </c:spPr>
          <c:dPt>
            <c:idx val="5"/>
            <c:spPr>
              <a:solidFill>
                <a:srgbClr val="FF0000"/>
              </a:solidFill>
            </c:spPr>
          </c:dPt>
          <c:dLbls>
            <c:dLbl>
              <c:idx val="0"/>
              <c:layout>
                <c:manualLayout>
                  <c:x val="1.5719717307418146E-17"/>
                  <c:y val="-0.26477545314129719"/>
                </c:manualLayout>
              </c:layout>
              <c:showVal val="1"/>
            </c:dLbl>
            <c:dLbl>
              <c:idx val="1"/>
              <c:layout>
                <c:manualLayout>
                  <c:x val="-3.4297961242763584E-3"/>
                  <c:y val="-0.26477545314129719"/>
                </c:manualLayout>
              </c:layout>
              <c:showVal val="1"/>
            </c:dLbl>
            <c:dLbl>
              <c:idx val="2"/>
              <c:layout>
                <c:manualLayout>
                  <c:x val="0"/>
                  <c:y val="-0.12104020715030728"/>
                </c:manualLayout>
              </c:layout>
              <c:showVal val="1"/>
            </c:dLbl>
            <c:dLbl>
              <c:idx val="3"/>
              <c:layout>
                <c:manualLayout>
                  <c:x val="-3.4297783782943846E-3"/>
                  <c:y val="-0.12880416263756503"/>
                </c:manualLayout>
              </c:layout>
              <c:showVal val="1"/>
            </c:dLbl>
            <c:dLbl>
              <c:idx val="4"/>
              <c:layout>
                <c:manualLayout>
                  <c:x val="-6.8595922485527394E-3"/>
                  <c:y val="-0.23451569918887591"/>
                </c:manualLayout>
              </c:layout>
              <c:showVal val="1"/>
            </c:dLbl>
            <c:dLbl>
              <c:idx val="5"/>
              <c:layout>
                <c:manualLayout>
                  <c:x val="0"/>
                  <c:y val="-0.36312062145092378"/>
                </c:manualLayout>
              </c:layout>
              <c:showVal val="1"/>
            </c:dLbl>
            <c:txPr>
              <a:bodyPr/>
              <a:lstStyle/>
              <a:p>
                <a:pPr>
                  <a:defRPr lang="en-US"/>
                </a:pPr>
                <a:endParaRPr lang="vi-VN"/>
              </a:p>
            </c:txPr>
            <c:showVal val="1"/>
          </c:dLbls>
          <c:cat>
            <c:numRef>
              <c:f>'[Copy of BCTC TTB. 12.2014.xls]IS'!$D$2:$I$2</c:f>
              <c:numCache>
                <c:formatCode>0</c:formatCode>
                <c:ptCount val="6"/>
                <c:pt idx="0">
                  <c:v>2010</c:v>
                </c:pt>
                <c:pt idx="1">
                  <c:v>2011</c:v>
                </c:pt>
                <c:pt idx="2">
                  <c:v>2012</c:v>
                </c:pt>
                <c:pt idx="3">
                  <c:v>2013</c:v>
                </c:pt>
                <c:pt idx="4">
                  <c:v>2014</c:v>
                </c:pt>
                <c:pt idx="5">
                  <c:v>2015</c:v>
                </c:pt>
              </c:numCache>
            </c:numRef>
          </c:cat>
          <c:val>
            <c:numRef>
              <c:f>'[Copy of BCTC TTB. 12.2014.xls]IS'!$D$5:$I$5</c:f>
              <c:numCache>
                <c:formatCode>_(* #,##0_);_(* \(#,##0\);_(* "-"??_);_(@_)</c:formatCode>
                <c:ptCount val="6"/>
                <c:pt idx="0">
                  <c:v>103000970264</c:v>
                </c:pt>
                <c:pt idx="1">
                  <c:v>103409601490</c:v>
                </c:pt>
                <c:pt idx="2">
                  <c:v>41289053704</c:v>
                </c:pt>
                <c:pt idx="3">
                  <c:v>50991853524</c:v>
                </c:pt>
                <c:pt idx="4">
                  <c:v>83168346280</c:v>
                </c:pt>
                <c:pt idx="5">
                  <c:v>152735955573</c:v>
                </c:pt>
              </c:numCache>
            </c:numRef>
          </c:val>
        </c:ser>
        <c:gapWidth val="75"/>
        <c:overlap val="100"/>
        <c:axId val="100041472"/>
        <c:axId val="100043008"/>
      </c:barChart>
      <c:catAx>
        <c:axId val="100041472"/>
        <c:scaling>
          <c:orientation val="minMax"/>
        </c:scaling>
        <c:axPos val="b"/>
        <c:numFmt formatCode="0" sourceLinked="1"/>
        <c:majorTickMark val="none"/>
        <c:tickLblPos val="nextTo"/>
        <c:txPr>
          <a:bodyPr/>
          <a:lstStyle/>
          <a:p>
            <a:pPr>
              <a:defRPr lang="en-US"/>
            </a:pPr>
            <a:endParaRPr lang="vi-VN"/>
          </a:p>
        </c:txPr>
        <c:crossAx val="100043008"/>
        <c:crosses val="autoZero"/>
        <c:auto val="1"/>
        <c:lblAlgn val="ctr"/>
        <c:lblOffset val="100"/>
      </c:catAx>
      <c:valAx>
        <c:axId val="100043008"/>
        <c:scaling>
          <c:orientation val="minMax"/>
        </c:scaling>
        <c:axPos val="l"/>
        <c:majorGridlines>
          <c:spPr>
            <a:ln>
              <a:prstDash val="sysDash"/>
            </a:ln>
          </c:spPr>
        </c:majorGridlines>
        <c:numFmt formatCode="#,##0" sourceLinked="0"/>
        <c:majorTickMark val="none"/>
        <c:tickLblPos val="nextTo"/>
        <c:spPr>
          <a:ln w="9525">
            <a:noFill/>
          </a:ln>
        </c:spPr>
        <c:txPr>
          <a:bodyPr/>
          <a:lstStyle/>
          <a:p>
            <a:pPr>
              <a:defRPr lang="en-US"/>
            </a:pPr>
            <a:endParaRPr lang="vi-VN"/>
          </a:p>
        </c:txPr>
        <c:crossAx val="100041472"/>
        <c:crosses val="autoZero"/>
        <c:crossBetween val="between"/>
        <c:majorUnit val="30000000000"/>
        <c:dispUnits>
          <c:builtInUnit val="billions"/>
        </c:dispUnits>
      </c:valAx>
    </c:plotArea>
    <c:plotVisOnly val="1"/>
    <c:dispBlanksAs val="gap"/>
  </c:chart>
  <c:spPr>
    <a:ln>
      <a:noFill/>
    </a:ln>
  </c:spPr>
  <c:txPr>
    <a:bodyPr/>
    <a:lstStyle/>
    <a:p>
      <a:pPr>
        <a:defRPr sz="900">
          <a:latin typeface="+mj-lt"/>
        </a:defRPr>
      </a:pPr>
      <a:endParaRPr lang="vi-V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vi-VN"/>
  <c:clrMapOvr bg1="lt1" tx1="dk1" bg2="lt2" tx2="dk2" accent1="accent1" accent2="accent2" accent3="accent3" accent4="accent4" accent5="accent5" accent6="accent6" hlink="hlink" folHlink="folHlink"/>
  <c:chart>
    <c:title>
      <c:tx>
        <c:rich>
          <a:bodyPr/>
          <a:lstStyle/>
          <a:p>
            <a:pPr>
              <a:defRPr lang="en-US" sz="900">
                <a:solidFill>
                  <a:srgbClr val="0070C0"/>
                </a:solidFill>
                <a:latin typeface="Times New Roman" pitchFamily="18" charset="0"/>
                <a:cs typeface="Times New Roman" pitchFamily="18" charset="0"/>
              </a:defRPr>
            </a:pPr>
            <a:r>
              <a:rPr lang="en-US" sz="900" baseline="0">
                <a:solidFill>
                  <a:srgbClr val="0070C0"/>
                </a:solidFill>
                <a:latin typeface="Times New Roman" pitchFamily="18" charset="0"/>
                <a:cs typeface="Times New Roman" pitchFamily="18" charset="0"/>
              </a:rPr>
              <a:t>Lợi nhuận gộp (tỷ </a:t>
            </a:r>
            <a:r>
              <a:rPr lang="vi-VN" sz="900" baseline="0">
                <a:solidFill>
                  <a:srgbClr val="0070C0"/>
                </a:solidFill>
                <a:latin typeface="Times New Roman" pitchFamily="18" charset="0"/>
                <a:cs typeface="Times New Roman" pitchFamily="18" charset="0"/>
              </a:rPr>
              <a:t>đồng</a:t>
            </a:r>
            <a:r>
              <a:rPr lang="en-US" sz="900" baseline="0">
                <a:solidFill>
                  <a:srgbClr val="0070C0"/>
                </a:solidFill>
                <a:latin typeface="Times New Roman" pitchFamily="18" charset="0"/>
                <a:cs typeface="Times New Roman" pitchFamily="18" charset="0"/>
              </a:rPr>
              <a:t>)</a:t>
            </a:r>
            <a:endParaRPr lang="en-US" sz="900">
              <a:solidFill>
                <a:srgbClr val="0070C0"/>
              </a:solidFill>
              <a:latin typeface="Times New Roman" pitchFamily="18" charset="0"/>
              <a:cs typeface="Times New Roman" pitchFamily="18" charset="0"/>
            </a:endParaRPr>
          </a:p>
        </c:rich>
      </c:tx>
      <c:layout>
        <c:manualLayout>
          <c:xMode val="edge"/>
          <c:yMode val="edge"/>
          <c:x val="0.22147083381966079"/>
          <c:y val="9.2413261331112939E-2"/>
        </c:manualLayout>
      </c:layout>
    </c:title>
    <c:plotArea>
      <c:layout>
        <c:manualLayout>
          <c:layoutTarget val="inner"/>
          <c:xMode val="edge"/>
          <c:yMode val="edge"/>
          <c:x val="7.6408724771472508E-2"/>
          <c:y val="0.14196509646820599"/>
          <c:w val="0.86133005249344441"/>
          <c:h val="0.76407136170915702"/>
        </c:manualLayout>
      </c:layout>
      <c:barChart>
        <c:barDir val="col"/>
        <c:grouping val="stacked"/>
        <c:ser>
          <c:idx val="0"/>
          <c:order val="0"/>
          <c:spPr>
            <a:solidFill>
              <a:srgbClr val="0000FF"/>
            </a:solidFill>
          </c:spPr>
          <c:dPt>
            <c:idx val="5"/>
            <c:spPr>
              <a:solidFill>
                <a:srgbClr val="FF0000"/>
              </a:solidFill>
            </c:spPr>
          </c:dPt>
          <c:dLbls>
            <c:dLbl>
              <c:idx val="0"/>
              <c:layout>
                <c:manualLayout>
                  <c:x val="-6.8598623112397358E-3"/>
                  <c:y val="-0.18912532367235521"/>
                </c:manualLayout>
              </c:layout>
              <c:showVal val="1"/>
            </c:dLbl>
            <c:dLbl>
              <c:idx val="1"/>
              <c:layout>
                <c:manualLayout>
                  <c:x val="-3.4297961242763862E-3"/>
                  <c:y val="-0.20047284309269736"/>
                </c:manualLayout>
              </c:layout>
              <c:showVal val="1"/>
            </c:dLbl>
            <c:dLbl>
              <c:idx val="2"/>
              <c:layout>
                <c:manualLayout>
                  <c:x val="0"/>
                  <c:y val="-0.17399529777856798"/>
                </c:manualLayout>
              </c:layout>
              <c:showVal val="1"/>
            </c:dLbl>
            <c:dLbl>
              <c:idx val="3"/>
              <c:layout>
                <c:manualLayout>
                  <c:x val="-3.4297961242763862E-3"/>
                  <c:y val="-0.17021279130511971"/>
                </c:manualLayout>
              </c:layout>
              <c:showVal val="1"/>
            </c:dLbl>
            <c:dLbl>
              <c:idx val="4"/>
              <c:layout>
                <c:manualLayout>
                  <c:x val="-6.8595922485527394E-3"/>
                  <c:y val="-0.29503580276402935"/>
                </c:manualLayout>
              </c:layout>
              <c:showVal val="1"/>
            </c:dLbl>
            <c:dLbl>
              <c:idx val="5"/>
              <c:layout>
                <c:manualLayout>
                  <c:x val="0"/>
                  <c:y val="-0.38581566029160863"/>
                </c:manualLayout>
              </c:layout>
              <c:showVal val="1"/>
            </c:dLbl>
            <c:txPr>
              <a:bodyPr/>
              <a:lstStyle/>
              <a:p>
                <a:pPr>
                  <a:defRPr lang="en-US" sz="800" b="1"/>
                </a:pPr>
                <a:endParaRPr lang="vi-VN"/>
              </a:p>
            </c:txPr>
            <c:showVal val="1"/>
          </c:dLbls>
          <c:cat>
            <c:numRef>
              <c:f>'[Copy of BCTC TTB. 12.2014.xls]IS'!$D$2:$I$2</c:f>
              <c:numCache>
                <c:formatCode>0</c:formatCode>
                <c:ptCount val="6"/>
                <c:pt idx="0">
                  <c:v>2010</c:v>
                </c:pt>
                <c:pt idx="1">
                  <c:v>2011</c:v>
                </c:pt>
                <c:pt idx="2">
                  <c:v>2012</c:v>
                </c:pt>
                <c:pt idx="3">
                  <c:v>2013</c:v>
                </c:pt>
                <c:pt idx="4">
                  <c:v>2014</c:v>
                </c:pt>
                <c:pt idx="5">
                  <c:v>2015</c:v>
                </c:pt>
              </c:numCache>
            </c:numRef>
          </c:cat>
          <c:val>
            <c:numRef>
              <c:f>'[Copy of BCTC TTB. 12.2014.xls]IS'!$D$7:$I$7</c:f>
              <c:numCache>
                <c:formatCode>_(* #,##0_);_(* \(#,##0\);_(* "-"??_);_(@_)</c:formatCode>
                <c:ptCount val="6"/>
                <c:pt idx="0">
                  <c:v>10745672618</c:v>
                </c:pt>
                <c:pt idx="1">
                  <c:v>12482466394</c:v>
                </c:pt>
                <c:pt idx="2">
                  <c:v>10497254497</c:v>
                </c:pt>
                <c:pt idx="3">
                  <c:v>10661811838</c:v>
                </c:pt>
                <c:pt idx="4">
                  <c:v>19194505336</c:v>
                </c:pt>
                <c:pt idx="5">
                  <c:v>27990074341</c:v>
                </c:pt>
              </c:numCache>
            </c:numRef>
          </c:val>
        </c:ser>
        <c:gapWidth val="75"/>
        <c:overlap val="100"/>
        <c:axId val="92499968"/>
        <c:axId val="92501504"/>
      </c:barChart>
      <c:catAx>
        <c:axId val="92499968"/>
        <c:scaling>
          <c:orientation val="minMax"/>
        </c:scaling>
        <c:axPos val="b"/>
        <c:numFmt formatCode="0" sourceLinked="1"/>
        <c:majorTickMark val="none"/>
        <c:tickLblPos val="nextTo"/>
        <c:txPr>
          <a:bodyPr/>
          <a:lstStyle/>
          <a:p>
            <a:pPr>
              <a:defRPr lang="en-US" sz="800" b="1">
                <a:latin typeface="Arial" pitchFamily="34" charset="0"/>
                <a:cs typeface="Arial" pitchFamily="34" charset="0"/>
              </a:defRPr>
            </a:pPr>
            <a:endParaRPr lang="vi-VN"/>
          </a:p>
        </c:txPr>
        <c:crossAx val="92501504"/>
        <c:crosses val="autoZero"/>
        <c:auto val="1"/>
        <c:lblAlgn val="ctr"/>
        <c:lblOffset val="100"/>
      </c:catAx>
      <c:valAx>
        <c:axId val="92501504"/>
        <c:scaling>
          <c:orientation val="minMax"/>
        </c:scaling>
        <c:axPos val="l"/>
        <c:majorGridlines>
          <c:spPr>
            <a:ln>
              <a:prstDash val="sysDash"/>
            </a:ln>
          </c:spPr>
        </c:majorGridlines>
        <c:numFmt formatCode="#,##0" sourceLinked="0"/>
        <c:majorTickMark val="none"/>
        <c:tickLblPos val="nextTo"/>
        <c:spPr>
          <a:ln w="9525">
            <a:noFill/>
          </a:ln>
        </c:spPr>
        <c:txPr>
          <a:bodyPr/>
          <a:lstStyle/>
          <a:p>
            <a:pPr>
              <a:defRPr lang="en-US" sz="800">
                <a:latin typeface="Arial" pitchFamily="34" charset="0"/>
                <a:cs typeface="Arial" pitchFamily="34" charset="0"/>
              </a:defRPr>
            </a:pPr>
            <a:endParaRPr lang="vi-VN"/>
          </a:p>
        </c:txPr>
        <c:crossAx val="92499968"/>
        <c:crosses val="autoZero"/>
        <c:crossBetween val="between"/>
        <c:majorUnit val="5000000000"/>
        <c:dispUnits>
          <c:builtInUnit val="billions"/>
        </c:dispUnits>
      </c:valAx>
    </c:plotArea>
    <c:plotVisOnly val="1"/>
    <c:dispBlanksAs val="gap"/>
  </c:chart>
  <c:spPr>
    <a:ln>
      <a:noFill/>
    </a:ln>
  </c:sp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5</TotalTime>
  <Pages>3</Pages>
  <Words>707</Words>
  <Characters>4035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Duong Xuan</dc:creator>
  <cp:lastModifiedBy>Duong Xuan</cp:lastModifiedBy>
  <cp:revision>5</cp:revision>
  <cp:lastPrinted>2016-06-21T08:30:00Z</cp:lastPrinted>
  <dcterms:created xsi:type="dcterms:W3CDTF">2016-03-01T03:24:00Z</dcterms:created>
  <dcterms:modified xsi:type="dcterms:W3CDTF">2016-06-21T08:30:00Z</dcterms:modified>
</cp:coreProperties>
</file>